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DD9F" w14:textId="77777777" w:rsidR="003A7713" w:rsidRPr="00BB19BA" w:rsidRDefault="003A7713" w:rsidP="003A7713">
      <w:pPr>
        <w:spacing w:after="120" w:line="23" w:lineRule="atLeast"/>
        <w:jc w:val="right"/>
        <w:rPr>
          <w:rFonts w:cstheme="minorHAnsi"/>
          <w:i/>
        </w:rPr>
      </w:pPr>
      <w:r w:rsidRPr="00BB19BA">
        <w:rPr>
          <w:rFonts w:cstheme="minorHAnsi"/>
          <w:i/>
        </w:rPr>
        <w:t>Załącznik nr 1</w:t>
      </w:r>
    </w:p>
    <w:p w14:paraId="5294F241" w14:textId="77777777" w:rsidR="003A7713" w:rsidRPr="004905AC" w:rsidRDefault="003A7713" w:rsidP="003A7713">
      <w:pPr>
        <w:pStyle w:val="Default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do Regulaminu </w:t>
      </w:r>
      <w:r w:rsidRPr="004905AC">
        <w:rPr>
          <w:rFonts w:asciiTheme="minorHAnsi" w:hAnsiTheme="minorHAnsi" w:cstheme="minorHAnsi"/>
          <w:i/>
          <w:sz w:val="22"/>
          <w:szCs w:val="22"/>
        </w:rPr>
        <w:t>Udzielania Pożyczek</w:t>
      </w:r>
    </w:p>
    <w:p w14:paraId="73748B99" w14:textId="371E8B1E" w:rsidR="00045DAC" w:rsidRDefault="003A7713" w:rsidP="003A7713">
      <w:pPr>
        <w:pStyle w:val="Default"/>
        <w:jc w:val="right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C84D38">
        <w:rPr>
          <w:rFonts w:asciiTheme="minorHAnsi" w:hAnsiTheme="minorHAnsi" w:cstheme="minorHAnsi"/>
          <w:i/>
          <w:sz w:val="22"/>
          <w:szCs w:val="22"/>
        </w:rPr>
        <w:t xml:space="preserve">– </w:t>
      </w:r>
      <w:r w:rsidRPr="00C84D38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Pożyczka </w:t>
      </w:r>
      <w:r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na inwestycje rozwojowe z Dotacją</w:t>
      </w:r>
    </w:p>
    <w:p w14:paraId="1E9B9151" w14:textId="77777777" w:rsidR="00815CF7" w:rsidRPr="00045DAC" w:rsidRDefault="00815CF7" w:rsidP="00045DAC">
      <w:pPr>
        <w:pStyle w:val="Default"/>
        <w:jc w:val="right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</w:p>
    <w:p w14:paraId="3B4A4173" w14:textId="1F77D8DF" w:rsidR="00ED706E" w:rsidRPr="00A214F3" w:rsidRDefault="00ED706E" w:rsidP="007346C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A214F3">
        <w:rPr>
          <w:rFonts w:asciiTheme="minorHAnsi" w:hAnsiTheme="minorHAnsi" w:cstheme="minorHAnsi"/>
          <w:b/>
          <w:bCs/>
        </w:rPr>
        <w:t>Warunek nr 1 – realizacja inwestycji przyczyniających się do cyfryzacji, automatyzacji lub robotyzacji procesów w przedsiębiorstwie.</w:t>
      </w:r>
    </w:p>
    <w:p w14:paraId="3D091C05" w14:textId="7318C6D5" w:rsidR="008436EE" w:rsidRPr="00A214F3" w:rsidRDefault="008436EE" w:rsidP="00D07EE8">
      <w:pPr>
        <w:rPr>
          <w:rFonts w:cstheme="minorHAnsi"/>
        </w:rPr>
      </w:pPr>
      <w:r w:rsidRPr="00A214F3">
        <w:rPr>
          <w:rFonts w:cstheme="minorHAnsi"/>
        </w:rPr>
        <w:t xml:space="preserve">Inwestycja przyczyniająca się do cyfryzacji, automatyzacji lub robotyzacji procesów w przedsiębiorstwie </w:t>
      </w:r>
      <w:proofErr w:type="gramStart"/>
      <w:r w:rsidRPr="00A214F3">
        <w:rPr>
          <w:rFonts w:cstheme="minorHAnsi"/>
        </w:rPr>
        <w:t xml:space="preserve">oznacza </w:t>
      </w:r>
      <w:r w:rsidR="00E22717">
        <w:rPr>
          <w:rFonts w:cstheme="minorHAnsi"/>
          <w:color w:val="FF0000"/>
        </w:rPr>
        <w:t xml:space="preserve"> </w:t>
      </w:r>
      <w:r w:rsidRPr="00A214F3">
        <w:rPr>
          <w:rFonts w:cstheme="minorHAnsi"/>
        </w:rPr>
        <w:t>zwiększenie</w:t>
      </w:r>
      <w:proofErr w:type="gramEnd"/>
      <w:r w:rsidRPr="00A214F3">
        <w:rPr>
          <w:rFonts w:cstheme="minorHAnsi"/>
        </w:rPr>
        <w:t xml:space="preserve"> wykorzystania systemów procesowych, przestawieniu firmy na cyfrowy łańcuch dostaw, wprowadzenie technologii do codziennej działalności.</w:t>
      </w:r>
    </w:p>
    <w:p w14:paraId="1ECD6D3D" w14:textId="3BAF4321" w:rsidR="00D07EE8" w:rsidRPr="00A214F3" w:rsidRDefault="00D07EE8" w:rsidP="00D07EE8">
      <w:pPr>
        <w:rPr>
          <w:rFonts w:cstheme="minorHAnsi"/>
        </w:rPr>
      </w:pPr>
      <w:r w:rsidRPr="00A214F3">
        <w:rPr>
          <w:rFonts w:cstheme="minorHAnsi"/>
        </w:rPr>
        <w:t xml:space="preserve">Wnioskodawca </w:t>
      </w:r>
      <w:r w:rsidR="008436EE" w:rsidRPr="00A214F3">
        <w:rPr>
          <w:rFonts w:cstheme="minorHAnsi"/>
        </w:rPr>
        <w:t>powinien zapewnić</w:t>
      </w:r>
      <w:r w:rsidRPr="00A214F3">
        <w:rPr>
          <w:rFonts w:cstheme="minorHAnsi"/>
        </w:rPr>
        <w:t xml:space="preserve">, </w:t>
      </w:r>
      <w:r w:rsidR="008436EE" w:rsidRPr="00A214F3">
        <w:rPr>
          <w:rFonts w:cstheme="minorHAnsi"/>
        </w:rPr>
        <w:t>aby</w:t>
      </w:r>
      <w:r w:rsidRPr="00A214F3">
        <w:rPr>
          <w:rFonts w:cstheme="minorHAnsi"/>
        </w:rPr>
        <w:t xml:space="preserve"> projekt w jego przeważającej</w:t>
      </w:r>
      <w:r w:rsidR="00A214F3" w:rsidRPr="00A214F3">
        <w:rPr>
          <w:rFonts w:cstheme="minorHAnsi"/>
        </w:rPr>
        <w:t xml:space="preserve"> </w:t>
      </w:r>
      <w:r w:rsidRPr="00A214F3">
        <w:rPr>
          <w:rFonts w:cstheme="minorHAnsi"/>
        </w:rPr>
        <w:t>części</w:t>
      </w:r>
      <w:r w:rsidR="00A36F7B">
        <w:rPr>
          <w:rStyle w:val="Odwoanieprzypisudolnego"/>
          <w:rFonts w:cstheme="minorHAnsi"/>
        </w:rPr>
        <w:footnoteReference w:id="1"/>
      </w:r>
      <w:r w:rsidRPr="00A214F3">
        <w:rPr>
          <w:rFonts w:cstheme="minorHAnsi"/>
        </w:rPr>
        <w:t xml:space="preserve"> dotyczy</w:t>
      </w:r>
      <w:r w:rsidR="008436EE" w:rsidRPr="00A214F3">
        <w:rPr>
          <w:rFonts w:cstheme="minorHAnsi"/>
        </w:rPr>
        <w:t>ł</w:t>
      </w:r>
      <w:r w:rsidRPr="00A214F3">
        <w:rPr>
          <w:rFonts w:cstheme="minorHAnsi"/>
        </w:rPr>
        <w:t xml:space="preserve"> wdrożenia specjalistycznych rozwiązań cyfrowych, w skład których wchodzą wdrożenia rozwiązań z zakresu automatyzacji i robotyzacji.</w:t>
      </w:r>
    </w:p>
    <w:p w14:paraId="49E48A90" w14:textId="44623EA9" w:rsidR="00D07EE8" w:rsidRPr="00A214F3" w:rsidRDefault="008436EE" w:rsidP="00D07EE8">
      <w:pPr>
        <w:rPr>
          <w:rFonts w:cstheme="minorHAnsi"/>
        </w:rPr>
      </w:pPr>
      <w:r w:rsidRPr="00A214F3">
        <w:rPr>
          <w:rFonts w:cstheme="minorHAnsi"/>
        </w:rPr>
        <w:t>Inwestycja</w:t>
      </w:r>
      <w:r w:rsidR="00D07EE8" w:rsidRPr="00A214F3">
        <w:rPr>
          <w:rFonts w:cstheme="minorHAnsi"/>
        </w:rPr>
        <w:t xml:space="preserve"> nie otrzyma </w:t>
      </w:r>
      <w:r w:rsidR="00376256">
        <w:rPr>
          <w:rFonts w:cstheme="minorHAnsi"/>
        </w:rPr>
        <w:t>Dotacji</w:t>
      </w:r>
      <w:r w:rsidR="00D07EE8" w:rsidRPr="00A214F3">
        <w:rPr>
          <w:rFonts w:cstheme="minorHAnsi"/>
        </w:rPr>
        <w:t xml:space="preserve">, jeżeli dotyczy wyłącznie niżej wymienionych obszarów: </w:t>
      </w:r>
    </w:p>
    <w:p w14:paraId="5FA48223" w14:textId="1DEE2AD4" w:rsidR="00D07EE8" w:rsidRPr="00A214F3" w:rsidRDefault="00D07EE8" w:rsidP="008758D2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proofErr w:type="spellStart"/>
      <w:r w:rsidRPr="00A214F3">
        <w:rPr>
          <w:rFonts w:cstheme="minorHAnsi"/>
          <w:lang w:val="en-GB"/>
        </w:rPr>
        <w:t>działania</w:t>
      </w:r>
      <w:proofErr w:type="spellEnd"/>
      <w:r w:rsidRPr="00A214F3">
        <w:rPr>
          <w:rFonts w:cstheme="minorHAnsi"/>
          <w:lang w:val="en-GB"/>
        </w:rPr>
        <w:t xml:space="preserve"> </w:t>
      </w:r>
      <w:proofErr w:type="spellStart"/>
      <w:r w:rsidRPr="00A214F3">
        <w:rPr>
          <w:rFonts w:cstheme="minorHAnsi"/>
          <w:lang w:val="en-GB"/>
        </w:rPr>
        <w:t>marketingowe</w:t>
      </w:r>
      <w:proofErr w:type="spellEnd"/>
      <w:r w:rsidRPr="00A214F3">
        <w:rPr>
          <w:rFonts w:cstheme="minorHAnsi"/>
          <w:lang w:val="en-GB"/>
        </w:rPr>
        <w:t xml:space="preserve"> (E-Marketing); </w:t>
      </w:r>
    </w:p>
    <w:p w14:paraId="45217206" w14:textId="005A0B81" w:rsidR="00D07EE8" w:rsidRPr="00A214F3" w:rsidRDefault="00D07EE8" w:rsidP="008758D2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A214F3">
        <w:rPr>
          <w:rFonts w:cstheme="minorHAnsi"/>
          <w:lang w:val="en-GB"/>
        </w:rPr>
        <w:t>Public Relations (E-PR);</w:t>
      </w:r>
    </w:p>
    <w:p w14:paraId="2F202CF1" w14:textId="105829E1" w:rsidR="00D07EE8" w:rsidRPr="00A214F3" w:rsidRDefault="00D07EE8" w:rsidP="008758D2">
      <w:pPr>
        <w:pStyle w:val="Akapitzlist"/>
        <w:numPr>
          <w:ilvl w:val="0"/>
          <w:numId w:val="12"/>
        </w:numPr>
        <w:rPr>
          <w:rFonts w:cstheme="minorHAnsi"/>
        </w:rPr>
      </w:pPr>
      <w:r w:rsidRPr="00A214F3">
        <w:rPr>
          <w:rFonts w:cstheme="minorHAnsi"/>
        </w:rPr>
        <w:t xml:space="preserve">automatyzacja prac biurowych (OA - Office Automation); </w:t>
      </w:r>
    </w:p>
    <w:p w14:paraId="0068EE73" w14:textId="32089D37" w:rsidR="00D07EE8" w:rsidRPr="00A214F3" w:rsidRDefault="00D07EE8" w:rsidP="008758D2">
      <w:pPr>
        <w:pStyle w:val="Akapitzlist"/>
        <w:numPr>
          <w:ilvl w:val="0"/>
          <w:numId w:val="12"/>
        </w:numPr>
        <w:rPr>
          <w:rFonts w:cstheme="minorHAnsi"/>
        </w:rPr>
      </w:pPr>
      <w:r w:rsidRPr="00A214F3">
        <w:rPr>
          <w:rFonts w:cstheme="minorHAnsi"/>
        </w:rPr>
        <w:t xml:space="preserve">przygotowanie publikacji (DTP - Desktop Publishing); </w:t>
      </w:r>
    </w:p>
    <w:p w14:paraId="54905D89" w14:textId="1087E778" w:rsidR="00D07EE8" w:rsidRPr="00A214F3" w:rsidRDefault="00D07EE8" w:rsidP="008758D2">
      <w:pPr>
        <w:pStyle w:val="Akapitzlist"/>
        <w:numPr>
          <w:ilvl w:val="0"/>
          <w:numId w:val="12"/>
        </w:numPr>
        <w:rPr>
          <w:rFonts w:cstheme="minorHAnsi"/>
        </w:rPr>
      </w:pPr>
      <w:r w:rsidRPr="00A214F3">
        <w:rPr>
          <w:rFonts w:cstheme="minorHAnsi"/>
        </w:rPr>
        <w:t xml:space="preserve">wykorzystanie elektronicznych narzędzi komunikacji – poczta elektroniczna, komunikatory internetowe; </w:t>
      </w:r>
    </w:p>
    <w:p w14:paraId="41612D9B" w14:textId="449DA48E" w:rsidR="00D07EE8" w:rsidRPr="00A214F3" w:rsidRDefault="00D07EE8" w:rsidP="008758D2">
      <w:pPr>
        <w:pStyle w:val="Akapitzlist"/>
        <w:numPr>
          <w:ilvl w:val="0"/>
          <w:numId w:val="12"/>
        </w:numPr>
        <w:rPr>
          <w:rFonts w:cstheme="minorHAnsi"/>
        </w:rPr>
      </w:pPr>
      <w:r w:rsidRPr="00A214F3">
        <w:rPr>
          <w:rFonts w:cstheme="minorHAnsi"/>
        </w:rPr>
        <w:t xml:space="preserve">płatności bezgotówkowe; </w:t>
      </w:r>
    </w:p>
    <w:p w14:paraId="2F34D96C" w14:textId="6073CC05" w:rsidR="00ED706E" w:rsidRPr="00A214F3" w:rsidRDefault="00D07EE8" w:rsidP="008758D2">
      <w:pPr>
        <w:pStyle w:val="Akapitzlist"/>
        <w:numPr>
          <w:ilvl w:val="0"/>
          <w:numId w:val="12"/>
        </w:numPr>
        <w:rPr>
          <w:rFonts w:cstheme="minorHAnsi"/>
        </w:rPr>
      </w:pPr>
      <w:r w:rsidRPr="00A214F3">
        <w:rPr>
          <w:rFonts w:cstheme="minorHAnsi"/>
        </w:rPr>
        <w:t>e-faktury</w:t>
      </w:r>
      <w:r w:rsidR="008436EE" w:rsidRPr="00A214F3">
        <w:rPr>
          <w:rFonts w:cstheme="minorHAnsi"/>
        </w:rPr>
        <w:t>.</w:t>
      </w:r>
    </w:p>
    <w:p w14:paraId="0F04BCCA" w14:textId="322B831B" w:rsidR="00D07EE8" w:rsidRPr="00325C64" w:rsidRDefault="00D07EE8" w:rsidP="00D07EE8">
      <w:pPr>
        <w:rPr>
          <w:rFonts w:cstheme="minorHAnsi"/>
          <w:i/>
        </w:rPr>
      </w:pPr>
      <w:r w:rsidRPr="00A214F3">
        <w:rPr>
          <w:rFonts w:cstheme="minorHAnsi"/>
          <w:i/>
        </w:rPr>
        <w:t>Spełnienie warunku następuje w oparciu o dokumentację pożyczkową.</w:t>
      </w:r>
    </w:p>
    <w:p w14:paraId="0B800FB3" w14:textId="7EB1EF52" w:rsidR="007346CD" w:rsidRPr="008065BF" w:rsidRDefault="007346CD" w:rsidP="007346C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C84D38">
        <w:rPr>
          <w:rFonts w:asciiTheme="minorHAnsi" w:hAnsiTheme="minorHAnsi" w:cstheme="minorHAnsi"/>
          <w:b/>
          <w:bCs/>
        </w:rPr>
        <w:t xml:space="preserve">Warunek nr </w:t>
      </w:r>
      <w:r w:rsidR="00ED706E">
        <w:rPr>
          <w:rFonts w:asciiTheme="minorHAnsi" w:hAnsiTheme="minorHAnsi" w:cstheme="minorHAnsi"/>
          <w:b/>
          <w:bCs/>
        </w:rPr>
        <w:t>2</w:t>
      </w:r>
      <w:r w:rsidR="00974662">
        <w:rPr>
          <w:rFonts w:asciiTheme="minorHAnsi" w:hAnsiTheme="minorHAnsi" w:cstheme="minorHAnsi"/>
          <w:b/>
          <w:bCs/>
        </w:rPr>
        <w:t xml:space="preserve"> – stworzenie i utrzymanie </w:t>
      </w:r>
      <w:proofErr w:type="gramStart"/>
      <w:r w:rsidR="00974662">
        <w:rPr>
          <w:rFonts w:asciiTheme="minorHAnsi" w:hAnsiTheme="minorHAnsi" w:cstheme="minorHAnsi"/>
          <w:b/>
          <w:bCs/>
        </w:rPr>
        <w:t xml:space="preserve">( </w:t>
      </w:r>
      <w:r w:rsidR="00974662" w:rsidRPr="000C5279">
        <w:rPr>
          <w:rFonts w:asciiTheme="minorHAnsi" w:hAnsiTheme="minorHAnsi"/>
          <w:b/>
          <w:bCs/>
        </w:rPr>
        <w:t>min.</w:t>
      </w:r>
      <w:proofErr w:type="gramEnd"/>
      <w:r w:rsidR="00974662" w:rsidRPr="000C5279">
        <w:rPr>
          <w:rFonts w:asciiTheme="minorHAnsi" w:hAnsiTheme="minorHAnsi"/>
          <w:b/>
          <w:bCs/>
        </w:rPr>
        <w:t xml:space="preserve"> </w:t>
      </w:r>
      <w:r w:rsidR="00974662" w:rsidRPr="000C5279">
        <w:rPr>
          <w:b/>
          <w:bCs/>
        </w:rPr>
        <w:t>p</w:t>
      </w:r>
      <w:r w:rsidR="00974662" w:rsidRPr="000C5279">
        <w:rPr>
          <w:rFonts w:asciiTheme="minorHAnsi" w:hAnsiTheme="minorHAnsi"/>
          <w:b/>
          <w:bCs/>
        </w:rPr>
        <w:t>rzez 1 rok) dodatkowego miejsca pracy</w:t>
      </w:r>
      <w:r w:rsidR="008065BF">
        <w:rPr>
          <w:rFonts w:asciiTheme="minorHAnsi" w:hAnsiTheme="minorHAnsi"/>
          <w:b/>
          <w:bCs/>
        </w:rPr>
        <w:t xml:space="preserve">. </w:t>
      </w:r>
    </w:p>
    <w:p w14:paraId="65B534FC" w14:textId="77777777" w:rsidR="00815CF7" w:rsidRDefault="008065BF" w:rsidP="00ED706E">
      <w:pPr>
        <w:rPr>
          <w:rFonts w:cstheme="minorHAnsi"/>
          <w:iCs/>
        </w:rPr>
      </w:pPr>
      <w:r w:rsidRPr="00C23E28">
        <w:rPr>
          <w:rFonts w:cstheme="minorHAnsi"/>
          <w:iCs/>
        </w:rPr>
        <w:t>„Tworzenie nowych miejsc pracy”</w:t>
      </w:r>
      <w:r w:rsidR="00815CF7">
        <w:rPr>
          <w:rFonts w:cstheme="minorHAnsi"/>
          <w:iCs/>
        </w:rPr>
        <w:t>,</w:t>
      </w:r>
      <w:r w:rsidRPr="00C23E28">
        <w:rPr>
          <w:rFonts w:cstheme="minorHAnsi"/>
          <w:iCs/>
        </w:rPr>
        <w:t xml:space="preserve"> oznacza wzrost netto liczby pracowników w danym przedsiębiorstwie w porównaniu ze średnią z poprzednich 12 miesięcy. Dlatego też od liczby miejsc pracy utworzonych w ciągu 12 miesięcy należy odjąć liczbę miejsc pracy zlikwidowanych w tym samym okresie (definicja ta obowiązuje zarówno istniejące, jak i nowe zakłady). </w:t>
      </w:r>
    </w:p>
    <w:p w14:paraId="1F770DE0" w14:textId="697918B1" w:rsidR="008065BF" w:rsidRPr="00C84D38" w:rsidRDefault="008065BF" w:rsidP="00ED706E">
      <w:pPr>
        <w:rPr>
          <w:rFonts w:cstheme="minorHAnsi"/>
          <w:iCs/>
        </w:rPr>
      </w:pPr>
      <w:r w:rsidRPr="00C23E28">
        <w:rPr>
          <w:rFonts w:cstheme="minorHAnsi"/>
          <w:iCs/>
        </w:rPr>
        <w:t>„Liczba pracowników” oznacza liczbę rocznych jednostek roboczych (RJR), czyli liczbę osób zatrudnionych w pełnym wymiarze czasu pracy w ciągu jednego roku, przy czym liczba osób zatrudnionych w niepełnym wymiarze czasu pracy i wykonujących prace sezonowe stanowi ułamkowe części RJR.</w:t>
      </w:r>
    </w:p>
    <w:p w14:paraId="439896AE" w14:textId="08DED41C" w:rsidR="008065BF" w:rsidRPr="0089571B" w:rsidRDefault="008065BF" w:rsidP="0089571B">
      <w:pPr>
        <w:rPr>
          <w:rFonts w:cstheme="minorHAnsi"/>
          <w:i/>
        </w:rPr>
      </w:pPr>
      <w:r w:rsidRPr="00C84D38">
        <w:rPr>
          <w:rFonts w:cstheme="minorHAnsi"/>
          <w:i/>
        </w:rPr>
        <w:t>Spełnienie warunku następuje w oparciu o dokumentację pożyczkową.</w:t>
      </w:r>
    </w:p>
    <w:p w14:paraId="7A05ADF4" w14:textId="73700F26" w:rsidR="00974662" w:rsidRPr="00815CF7" w:rsidRDefault="00974662" w:rsidP="00974662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815CF7">
        <w:rPr>
          <w:rFonts w:asciiTheme="minorHAnsi" w:hAnsiTheme="minorHAnsi" w:cstheme="minorHAnsi"/>
          <w:b/>
          <w:bCs/>
        </w:rPr>
        <w:t xml:space="preserve">Warunek nr </w:t>
      </w:r>
      <w:r w:rsidR="00ED706E">
        <w:rPr>
          <w:rFonts w:asciiTheme="minorHAnsi" w:hAnsiTheme="minorHAnsi" w:cstheme="minorHAnsi"/>
          <w:b/>
          <w:bCs/>
        </w:rPr>
        <w:t>3</w:t>
      </w:r>
      <w:r w:rsidRPr="00815CF7">
        <w:rPr>
          <w:rFonts w:asciiTheme="minorHAnsi" w:hAnsiTheme="minorHAnsi" w:cstheme="minorHAnsi"/>
          <w:b/>
          <w:bCs/>
        </w:rPr>
        <w:t xml:space="preserve"> </w:t>
      </w:r>
      <w:r w:rsidR="00ED706E">
        <w:rPr>
          <w:rFonts w:asciiTheme="minorHAnsi" w:hAnsiTheme="minorHAnsi" w:cstheme="minorHAnsi"/>
          <w:b/>
          <w:bCs/>
        </w:rPr>
        <w:t>–</w:t>
      </w:r>
      <w:r w:rsidRPr="00815CF7">
        <w:rPr>
          <w:rFonts w:asciiTheme="minorHAnsi" w:hAnsiTheme="minorHAnsi" w:cstheme="minorHAnsi"/>
          <w:b/>
          <w:bCs/>
        </w:rPr>
        <w:t xml:space="preserve"> w wyniku realizacji przedsięwzięcia powstała innowacja na poziomie krajowym </w:t>
      </w:r>
    </w:p>
    <w:p w14:paraId="3C475CFB" w14:textId="2E1ABF81" w:rsidR="00E946D1" w:rsidRPr="00ED706E" w:rsidRDefault="00F35F58" w:rsidP="00815CF7">
      <w:r w:rsidRPr="00ED706E">
        <w:t xml:space="preserve">Poprzez innowację na poziomie krajowym rozumie się wdrożenie innowacji stosowanej w kraju nie dłużej niż 3 lata (licząc od daty złożenia wniosku o pożyczkę). Wraz z wnioskiem o pożyczkę pożyczkobiorca </w:t>
      </w:r>
      <w:r w:rsidR="00E946D1" w:rsidRPr="00ED706E">
        <w:t>zobowiązany jest przedstawić opinię o innowacyjności</w:t>
      </w:r>
      <w:r w:rsidR="007B32B9" w:rsidRPr="00ED706E">
        <w:t xml:space="preserve"> </w:t>
      </w:r>
      <w:r w:rsidRPr="00ED706E">
        <w:t xml:space="preserve">wystawioną </w:t>
      </w:r>
      <w:r w:rsidR="00E946D1" w:rsidRPr="00ED706E">
        <w:t xml:space="preserve">przez jednostkę </w:t>
      </w:r>
      <w:r w:rsidR="00E946D1" w:rsidRPr="00ED706E">
        <w:lastRenderedPageBreak/>
        <w:t xml:space="preserve">naukową w rozumieniu art. 2 pkt 9 ustawy z dnia 30 kwietnia 2010 r. o zasadach finansowania nauki (tekst jednolity z 2018 r., poz. 87 z </w:t>
      </w:r>
      <w:proofErr w:type="spellStart"/>
      <w:r w:rsidR="00E946D1" w:rsidRPr="00ED706E">
        <w:t>późn</w:t>
      </w:r>
      <w:proofErr w:type="spellEnd"/>
      <w:r w:rsidR="00E946D1" w:rsidRPr="00ED706E">
        <w:t>. zm.).</w:t>
      </w:r>
    </w:p>
    <w:p w14:paraId="18C6D550" w14:textId="18F2076F" w:rsidR="00E946D1" w:rsidRDefault="00E946D1" w:rsidP="00815CF7">
      <w:r w:rsidRPr="00ED706E">
        <w:t xml:space="preserve">Opinia powinna potwierdzać okres i zakres stosowania technologii będącej przedmiotem </w:t>
      </w:r>
      <w:r w:rsidR="00F35F58" w:rsidRPr="00ED706E">
        <w:t xml:space="preserve">inwestycji końcowej. </w:t>
      </w:r>
    </w:p>
    <w:p w14:paraId="773E2FE7" w14:textId="06A5D9A3" w:rsidR="002D0A6C" w:rsidRPr="00ED706E" w:rsidRDefault="002D0A6C" w:rsidP="00815CF7">
      <w:r>
        <w:t xml:space="preserve">Opinie o innowacyjności OO przedstawia na etapie wnioskowania o pożyczkę.  </w:t>
      </w:r>
    </w:p>
    <w:p w14:paraId="5C4FF272" w14:textId="5331924D" w:rsidR="00974662" w:rsidRPr="00ED706E" w:rsidRDefault="00E946D1" w:rsidP="00815CF7">
      <w:pPr>
        <w:rPr>
          <w:rFonts w:cstheme="minorHAnsi"/>
          <w:b/>
          <w:bCs/>
          <w:i/>
          <w:iCs/>
        </w:rPr>
      </w:pPr>
      <w:r w:rsidRPr="00ED706E">
        <w:rPr>
          <w:rFonts w:cstheme="minorHAnsi"/>
          <w:i/>
          <w:iCs/>
        </w:rPr>
        <w:t>Spełnienie warunków</w:t>
      </w:r>
      <w:r w:rsidRPr="00ED706E">
        <w:rPr>
          <w:rFonts w:cstheme="minorHAnsi"/>
          <w:b/>
          <w:bCs/>
          <w:i/>
          <w:iCs/>
        </w:rPr>
        <w:t xml:space="preserve"> </w:t>
      </w:r>
      <w:r w:rsidRPr="00ED706E">
        <w:rPr>
          <w:i/>
          <w:iCs/>
        </w:rPr>
        <w:t>następuje w oparciu o dokumentację pożyczkową</w:t>
      </w:r>
      <w:r w:rsidR="00ED706E" w:rsidRPr="00ED706E">
        <w:rPr>
          <w:i/>
          <w:iCs/>
        </w:rPr>
        <w:t>.</w:t>
      </w:r>
    </w:p>
    <w:p w14:paraId="7D18F710" w14:textId="202EC5DA" w:rsidR="00974662" w:rsidRPr="00815CF7" w:rsidRDefault="00974662" w:rsidP="00815CF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815CF7">
        <w:rPr>
          <w:rFonts w:cstheme="minorHAnsi"/>
          <w:b/>
        </w:rPr>
        <w:t xml:space="preserve">Warunek </w:t>
      </w:r>
      <w:r w:rsidR="00ED706E">
        <w:rPr>
          <w:rFonts w:cstheme="minorHAnsi"/>
          <w:b/>
        </w:rPr>
        <w:t>4</w:t>
      </w:r>
      <w:r w:rsidRPr="00815CF7">
        <w:rPr>
          <w:rFonts w:cstheme="minorHAnsi"/>
          <w:b/>
        </w:rPr>
        <w:t xml:space="preserve"> </w:t>
      </w:r>
    </w:p>
    <w:p w14:paraId="63BDB57E" w14:textId="44B1B6EE" w:rsidR="0067394A" w:rsidRPr="00C84D38" w:rsidRDefault="005E64FE" w:rsidP="00401794">
      <w:pPr>
        <w:rPr>
          <w:rFonts w:cstheme="minorHAnsi"/>
          <w:b/>
        </w:rPr>
      </w:pPr>
      <w:r w:rsidRPr="00C84D38">
        <w:rPr>
          <w:rFonts w:cstheme="minorHAnsi"/>
          <w:b/>
        </w:rPr>
        <w:t xml:space="preserve">Inwestycje realizowanych na terenach gmin, dla których </w:t>
      </w:r>
      <w:r w:rsidR="00490362" w:rsidRPr="00490362">
        <w:rPr>
          <w:rFonts w:cstheme="minorHAnsi"/>
          <w:b/>
        </w:rPr>
        <w:t>dla indywidualny wskaźnik zamożności jednostki samorządu terytorialnego</w:t>
      </w:r>
      <w:r w:rsidR="00490362">
        <w:rPr>
          <w:rFonts w:cstheme="minorHAnsi"/>
          <w:b/>
        </w:rPr>
        <w:t xml:space="preserve"> </w:t>
      </w:r>
      <w:r w:rsidRPr="00C84D38">
        <w:rPr>
          <w:rFonts w:cstheme="minorHAnsi"/>
          <w:b/>
        </w:rPr>
        <w:t>jest poniżej średniej regionalnej lub OSI Obszary Marginalizacji lub OSI Miasta tracące funkcje społeczno-gospodarcze lub Integratora Mazurskiego lub na terenie przygranicznych powiatów województwa</w:t>
      </w:r>
      <w:r w:rsidR="0067394A" w:rsidRPr="00C84D38">
        <w:rPr>
          <w:rFonts w:cstheme="minorHAnsi"/>
          <w:b/>
        </w:rPr>
        <w:t>.</w:t>
      </w:r>
    </w:p>
    <w:p w14:paraId="5C14C524" w14:textId="7706A45B" w:rsidR="004450DD" w:rsidRPr="00C84D38" w:rsidRDefault="001C78E8" w:rsidP="00300C68">
      <w:pPr>
        <w:jc w:val="both"/>
        <w:rPr>
          <w:rFonts w:cstheme="minorHAnsi"/>
          <w:b/>
          <w:bCs/>
          <w:color w:val="000000" w:themeColor="text1"/>
        </w:rPr>
      </w:pPr>
      <w:r w:rsidRPr="00C84D38">
        <w:rPr>
          <w:rFonts w:cstheme="minorHAnsi"/>
          <w:b/>
          <w:bCs/>
          <w:color w:val="000000" w:themeColor="text1"/>
        </w:rPr>
        <w:t xml:space="preserve">Tabela 1. Wykaz gmin, dla których </w:t>
      </w:r>
      <w:r w:rsidR="00490362" w:rsidRPr="00490362">
        <w:rPr>
          <w:rFonts w:cstheme="minorHAnsi"/>
          <w:b/>
          <w:bCs/>
          <w:color w:val="000000" w:themeColor="text1"/>
        </w:rPr>
        <w:t>dla indywidualny wskaźnik zamożności jednostki samorządu terytorialnego</w:t>
      </w:r>
      <w:r w:rsidR="00490362">
        <w:rPr>
          <w:rFonts w:cstheme="minorHAnsi"/>
          <w:b/>
          <w:bCs/>
          <w:color w:val="000000" w:themeColor="text1"/>
        </w:rPr>
        <w:t xml:space="preserve"> </w:t>
      </w:r>
      <w:r w:rsidRPr="00C84D38">
        <w:rPr>
          <w:rFonts w:cstheme="minorHAnsi"/>
          <w:b/>
          <w:bCs/>
          <w:color w:val="000000" w:themeColor="text1"/>
        </w:rPr>
        <w:t>jest poniżej średniej regionalnej</w:t>
      </w:r>
    </w:p>
    <w:p w14:paraId="7B318E07" w14:textId="6EA6F864" w:rsidR="005E64FE" w:rsidRPr="00C84D38" w:rsidRDefault="005E64FE" w:rsidP="005E64FE">
      <w:pPr>
        <w:pStyle w:val="pf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4D38">
        <w:rPr>
          <w:rStyle w:val="cf21"/>
          <w:rFonts w:asciiTheme="minorHAnsi" w:hAnsiTheme="minorHAnsi" w:cstheme="minorHAnsi"/>
          <w:sz w:val="22"/>
          <w:szCs w:val="22"/>
        </w:rPr>
        <w:t xml:space="preserve">Informacja rokrocznie (styczeń) umieszczana będzie na stronie programu regionalnego </w:t>
      </w:r>
      <w:proofErr w:type="spellStart"/>
      <w:r w:rsidRPr="00C84D38">
        <w:rPr>
          <w:rStyle w:val="cf21"/>
          <w:rFonts w:asciiTheme="minorHAnsi" w:hAnsiTheme="minorHAnsi" w:cstheme="minorHAnsi"/>
          <w:sz w:val="22"/>
          <w:szCs w:val="22"/>
        </w:rPr>
        <w:t>FEWiM</w:t>
      </w:r>
      <w:proofErr w:type="spellEnd"/>
      <w:r w:rsidRPr="00C84D38">
        <w:rPr>
          <w:rStyle w:val="cf21"/>
          <w:rFonts w:asciiTheme="minorHAnsi" w:hAnsiTheme="minorHAnsi" w:cstheme="minorHAnsi"/>
          <w:sz w:val="22"/>
          <w:szCs w:val="22"/>
        </w:rPr>
        <w:t xml:space="preserve"> 2021 – 2027 </w:t>
      </w:r>
    </w:p>
    <w:p w14:paraId="37228EE4" w14:textId="77777777" w:rsidR="005E64FE" w:rsidRPr="00C84D38" w:rsidRDefault="005E64FE" w:rsidP="005E64FE">
      <w:pPr>
        <w:pStyle w:val="pf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C84D38">
          <w:rPr>
            <w:rStyle w:val="cf21"/>
            <w:rFonts w:asciiTheme="minorHAnsi" w:hAnsiTheme="minorHAnsi" w:cstheme="minorHAnsi"/>
            <w:color w:val="0000FF"/>
            <w:sz w:val="22"/>
            <w:szCs w:val="22"/>
            <w:u w:val="single"/>
          </w:rPr>
          <w:t>https://funduszeeuropejskie.warmia.mazury.pl/</w:t>
        </w:r>
      </w:hyperlink>
    </w:p>
    <w:p w14:paraId="43D08D7B" w14:textId="77777777" w:rsidR="005E64FE" w:rsidRPr="00C84D38" w:rsidRDefault="005E64FE" w:rsidP="005E64FE">
      <w:pPr>
        <w:pStyle w:val="pf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4D38">
        <w:rPr>
          <w:rStyle w:val="cf21"/>
          <w:rFonts w:asciiTheme="minorHAnsi" w:hAnsiTheme="minorHAnsi" w:cstheme="minorHAnsi"/>
          <w:sz w:val="22"/>
          <w:szCs w:val="22"/>
        </w:rPr>
        <w:t xml:space="preserve">Link bezpośredni: </w:t>
      </w:r>
    </w:p>
    <w:p w14:paraId="32D07A8E" w14:textId="77777777" w:rsidR="005E64FE" w:rsidRPr="00C84D38" w:rsidRDefault="005E64FE" w:rsidP="005E64FE">
      <w:pPr>
        <w:pStyle w:val="pf0"/>
        <w:spacing w:before="0" w:beforeAutospacing="0" w:after="0" w:afterAutospacing="0"/>
        <w:rPr>
          <w:rStyle w:val="cf21"/>
          <w:rFonts w:asciiTheme="minorHAnsi" w:hAnsiTheme="minorHAnsi" w:cstheme="minorHAnsi"/>
          <w:color w:val="0000FF"/>
          <w:sz w:val="22"/>
          <w:szCs w:val="22"/>
          <w:u w:val="single"/>
        </w:rPr>
      </w:pPr>
      <w:hyperlink r:id="rId9" w:history="1">
        <w:r w:rsidRPr="00C84D38">
          <w:rPr>
            <w:rStyle w:val="cf21"/>
            <w:rFonts w:asciiTheme="minorHAnsi" w:hAnsiTheme="minorHAnsi" w:cstheme="minorHAnsi"/>
            <w:color w:val="0000FF"/>
            <w:sz w:val="22"/>
            <w:szCs w:val="22"/>
            <w:u w:val="single"/>
          </w:rPr>
          <w:t>https://funduszeeuropejskie.warmia.mazury.pl/artykul/469/wskaznik-g</w:t>
        </w:r>
      </w:hyperlink>
    </w:p>
    <w:p w14:paraId="4A0948A8" w14:textId="77777777" w:rsidR="005E64FE" w:rsidRPr="00C84D38" w:rsidRDefault="005E64FE" w:rsidP="00300C68">
      <w:pPr>
        <w:jc w:val="both"/>
        <w:rPr>
          <w:rFonts w:cstheme="minorHAnsi"/>
          <w:b/>
          <w:bCs/>
          <w:color w:val="000000" w:themeColor="text1"/>
        </w:rPr>
      </w:pPr>
    </w:p>
    <w:p w14:paraId="71794D6D" w14:textId="196649E9" w:rsidR="00300C68" w:rsidRPr="00C84D38" w:rsidRDefault="00300C68" w:rsidP="00300C68">
      <w:pPr>
        <w:jc w:val="both"/>
        <w:rPr>
          <w:rFonts w:cstheme="minorHAnsi"/>
          <w:b/>
          <w:bCs/>
          <w:color w:val="000000" w:themeColor="text1"/>
        </w:rPr>
      </w:pPr>
      <w:r w:rsidRPr="00C84D38">
        <w:rPr>
          <w:rFonts w:cstheme="minorHAnsi"/>
          <w:b/>
          <w:bCs/>
          <w:color w:val="000000" w:themeColor="text1"/>
        </w:rPr>
        <w:t xml:space="preserve">Tabela </w:t>
      </w:r>
      <w:r w:rsidR="005E64FE" w:rsidRPr="00C84D38">
        <w:rPr>
          <w:rFonts w:cstheme="minorHAnsi"/>
          <w:b/>
          <w:bCs/>
          <w:color w:val="000000" w:themeColor="text1"/>
        </w:rPr>
        <w:t>2</w:t>
      </w:r>
      <w:r w:rsidRPr="00C84D38">
        <w:rPr>
          <w:rFonts w:cstheme="minorHAnsi"/>
          <w:b/>
          <w:bCs/>
          <w:color w:val="000000" w:themeColor="text1"/>
        </w:rPr>
        <w:t xml:space="preserve">. Wykaz obszarów </w:t>
      </w:r>
      <w:r w:rsidR="001C78E8" w:rsidRPr="00C84D38">
        <w:rPr>
          <w:rFonts w:cstheme="minorHAnsi"/>
          <w:b/>
          <w:bCs/>
          <w:color w:val="000000" w:themeColor="text1"/>
        </w:rPr>
        <w:t>OSI Obszary Marginalizacji</w:t>
      </w:r>
    </w:p>
    <w:tbl>
      <w:tblPr>
        <w:tblStyle w:val="nowy1"/>
        <w:tblW w:w="0" w:type="auto"/>
        <w:tblLook w:val="04A0" w:firstRow="1" w:lastRow="0" w:firstColumn="1" w:lastColumn="0" w:noHBand="0" w:noVBand="1"/>
      </w:tblPr>
      <w:tblGrid>
        <w:gridCol w:w="2888"/>
        <w:gridCol w:w="3313"/>
        <w:gridCol w:w="2861"/>
      </w:tblGrid>
      <w:tr w:rsidR="00FE2AE7" w:rsidRPr="00CC6776" w14:paraId="1FF41586" w14:textId="77777777" w:rsidTr="003E3114">
        <w:tc>
          <w:tcPr>
            <w:tcW w:w="2888" w:type="dxa"/>
            <w:tcBorders>
              <w:bottom w:val="single" w:sz="4" w:space="0" w:color="auto"/>
            </w:tcBorders>
          </w:tcPr>
          <w:p w14:paraId="185D6965" w14:textId="77777777" w:rsidR="00FE2AE7" w:rsidRPr="00CC6776" w:rsidRDefault="00FE2AE7" w:rsidP="003E3114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</w:pPr>
            <w:r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  <w:t xml:space="preserve">gminy miejsko-wiejskie: 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14:paraId="52A10DC0" w14:textId="77777777" w:rsidR="00FE2AE7" w:rsidRPr="00CC6776" w:rsidRDefault="00FE2AE7" w:rsidP="003E3114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</w:pPr>
            <w:r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  <w:t xml:space="preserve">gminy wiejskie: 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14:paraId="07995239" w14:textId="77777777" w:rsidR="00FE2AE7" w:rsidRPr="00325FC9" w:rsidRDefault="00FE2AE7" w:rsidP="003E3114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</w:pPr>
            <w:r w:rsidRPr="00325FC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Gmina miejska</w:t>
            </w:r>
          </w:p>
        </w:tc>
      </w:tr>
      <w:tr w:rsidR="00FE2AE7" w:rsidRPr="00CC6776" w14:paraId="6C9CFBC0" w14:textId="77777777" w:rsidTr="003E3114">
        <w:tc>
          <w:tcPr>
            <w:tcW w:w="2888" w:type="dxa"/>
          </w:tcPr>
          <w:p w14:paraId="71EA6DB9" w14:textId="103FAB65" w:rsidR="00FE2AE7" w:rsidRPr="00CC6776" w:rsidRDefault="00FE2AE7" w:rsidP="003E3114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</w:pPr>
            <w:r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  <w:t>Biała Piska, Bisztynek</w:t>
            </w:r>
            <w:proofErr w:type="gramStart"/>
            <w:r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="00C72AA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  <w:t>,</w:t>
            </w:r>
            <w:proofErr w:type="gramEnd"/>
            <w:r w:rsidR="00C72AA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Jeziorany, </w:t>
            </w:r>
            <w:r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eastAsia="ja-JP"/>
              </w:rPr>
              <w:t xml:space="preserve">Kisielice, Korsze, Lidzbark, Mikołajki, Miłakowo, Młynary, Orneta, Orzysz, Pieniężno, Reszel, Ruciane- Nida, Ryn, Sępopol, Susz, Tolkmicko, Wielbark, Zalewo </w:t>
            </w:r>
          </w:p>
          <w:p w14:paraId="49804D50" w14:textId="77777777" w:rsidR="00FE2AE7" w:rsidRPr="00CC6776" w:rsidRDefault="00FE2AE7" w:rsidP="003E3114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313" w:type="dxa"/>
          </w:tcPr>
          <w:p w14:paraId="5A22E0AF" w14:textId="0065CCA4" w:rsidR="00FE2AE7" w:rsidRPr="00CC6776" w:rsidRDefault="00FE2AE7" w:rsidP="003E3114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Banie Mazurskie, Barciany, Bartoszyce, Biskupiec, Braniewo, Budry, Dąbrówno, Dubeninki, Działdowo, Dźwierzuty, Godkowo, Grodziczno, Grunwald, </w:t>
            </w:r>
            <w:r w:rsidR="00607D9B"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Górowo Iławeckie</w:t>
            </w:r>
            <w:r w:rsidR="00607D9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,</w:t>
            </w:r>
            <w:r w:rsidR="00607D9B"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Janowiec Kościelny, </w:t>
            </w:r>
            <w:r w:rsidR="00C72AAD"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Janowo, Kalinowo</w:t>
            </w:r>
            <w:r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, Kętrzyn, Kiwity, Kolno, Kowale Oleckie, Kozłowo, Lelkowo, Lubawa, Lubomino, Małdyty, Markusy, Miłki, Nowe Miasto Lubawskie, Piecki, Płoskinia, Płośnica, Pozezdrze, Prostki, Rozogi, Rybno, Rychliki, Sorkwity, Srokowo, Stare Juchy, Świątki, Świętajno</w:t>
            </w:r>
            <w:r w:rsidR="00ED706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974662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(powiat olecki)</w:t>
            </w:r>
            <w:r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, Wieliczki, Wilczęta, Wydminy</w:t>
            </w:r>
          </w:p>
        </w:tc>
        <w:tc>
          <w:tcPr>
            <w:tcW w:w="2861" w:type="dxa"/>
          </w:tcPr>
          <w:p w14:paraId="071285A0" w14:textId="77777777" w:rsidR="00FE2AE7" w:rsidRPr="00CC6776" w:rsidRDefault="00FE2AE7" w:rsidP="003E3114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CC677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Górowo Iławeckie</w:t>
            </w:r>
          </w:p>
        </w:tc>
      </w:tr>
    </w:tbl>
    <w:p w14:paraId="7DC116A6" w14:textId="77777777" w:rsidR="00300C68" w:rsidRPr="00C84D38" w:rsidRDefault="00300C68" w:rsidP="00300C68">
      <w:pPr>
        <w:pBdr>
          <w:bar w:val="single" w:sz="4" w:color="auto"/>
        </w:pBdr>
        <w:spacing w:after="0"/>
        <w:jc w:val="both"/>
        <w:rPr>
          <w:rFonts w:cstheme="minorHAnsi"/>
          <w:color w:val="000000" w:themeColor="text1"/>
        </w:rPr>
      </w:pPr>
    </w:p>
    <w:p w14:paraId="738ED0F1" w14:textId="7C9E048C" w:rsidR="00300C68" w:rsidRPr="00C84D38" w:rsidRDefault="00300C68" w:rsidP="00300C68">
      <w:pPr>
        <w:jc w:val="both"/>
        <w:rPr>
          <w:rFonts w:cstheme="minorHAnsi"/>
          <w:b/>
          <w:bCs/>
          <w:color w:val="000000" w:themeColor="text1"/>
        </w:rPr>
      </w:pPr>
      <w:r w:rsidRPr="00C84D38">
        <w:rPr>
          <w:rFonts w:cstheme="minorHAnsi"/>
          <w:b/>
          <w:bCs/>
          <w:color w:val="000000" w:themeColor="text1"/>
        </w:rPr>
        <w:t xml:space="preserve">Tabela </w:t>
      </w:r>
      <w:r w:rsidR="005E64FE" w:rsidRPr="00C84D38">
        <w:rPr>
          <w:rFonts w:cstheme="minorHAnsi"/>
          <w:b/>
          <w:bCs/>
          <w:color w:val="000000" w:themeColor="text1"/>
        </w:rPr>
        <w:t>3</w:t>
      </w:r>
      <w:r w:rsidRPr="00C84D38">
        <w:rPr>
          <w:rFonts w:cstheme="minorHAnsi"/>
          <w:b/>
          <w:bCs/>
          <w:color w:val="000000" w:themeColor="text1"/>
        </w:rPr>
        <w:t>. Wykaz obszarów OSI Miasta tracące funkcje społeczno-gospodarcze</w:t>
      </w:r>
    </w:p>
    <w:tbl>
      <w:tblPr>
        <w:tblStyle w:val="nowy1"/>
        <w:tblW w:w="0" w:type="auto"/>
        <w:tblLook w:val="04A0" w:firstRow="1" w:lastRow="0" w:firstColumn="1" w:lastColumn="0" w:noHBand="0" w:noVBand="1"/>
      </w:tblPr>
      <w:tblGrid>
        <w:gridCol w:w="4220"/>
        <w:gridCol w:w="4842"/>
      </w:tblGrid>
      <w:tr w:rsidR="00866273" w:rsidRPr="00C84D38" w14:paraId="79E50956" w14:textId="47F8D32C" w:rsidTr="00866273">
        <w:trPr>
          <w:trHeight w:val="100"/>
        </w:trPr>
        <w:tc>
          <w:tcPr>
            <w:tcW w:w="4220" w:type="dxa"/>
          </w:tcPr>
          <w:p w14:paraId="3A8E2317" w14:textId="52CEE839" w:rsidR="00866273" w:rsidRPr="00C84D38" w:rsidRDefault="00C84D38" w:rsidP="00B250D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Miasta w gminach miejsko-wiejskich:</w:t>
            </w:r>
          </w:p>
        </w:tc>
        <w:tc>
          <w:tcPr>
            <w:tcW w:w="4842" w:type="dxa"/>
          </w:tcPr>
          <w:p w14:paraId="2FCA1BD2" w14:textId="7BB6E31B" w:rsidR="00866273" w:rsidRPr="00C84D38" w:rsidRDefault="00866273" w:rsidP="005A58B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 xml:space="preserve">gminy </w:t>
            </w:r>
            <w:r w:rsidR="005A58B0"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miejskie</w:t>
            </w: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:</w:t>
            </w:r>
          </w:p>
        </w:tc>
      </w:tr>
      <w:tr w:rsidR="00866273" w:rsidRPr="00C84D38" w14:paraId="365DA25D" w14:textId="77777777" w:rsidTr="00866273">
        <w:trPr>
          <w:trHeight w:val="640"/>
        </w:trPr>
        <w:tc>
          <w:tcPr>
            <w:tcW w:w="4220" w:type="dxa"/>
          </w:tcPr>
          <w:p w14:paraId="065A17E9" w14:textId="4891E36E" w:rsidR="00866273" w:rsidRPr="00C84D38" w:rsidRDefault="00866273" w:rsidP="0039706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Olecko, Pisz</w:t>
            </w:r>
          </w:p>
        </w:tc>
        <w:tc>
          <w:tcPr>
            <w:tcW w:w="4842" w:type="dxa"/>
          </w:tcPr>
          <w:p w14:paraId="4953FEAA" w14:textId="0A9517DE" w:rsidR="00866273" w:rsidRPr="00C84D38" w:rsidRDefault="00397061" w:rsidP="00B250D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Bartoszyce, Braniewo, Działdowo, Elbląg, Ełk, Giżycko, </w:t>
            </w:r>
            <w:r w:rsidR="005A58B0"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Iława, Kętrzyn, Lidzbark </w:t>
            </w:r>
            <w:proofErr w:type="gramStart"/>
            <w:r w:rsidR="005A58B0"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Warmiński,  Mrągowo</w:t>
            </w:r>
            <w:proofErr w:type="gramEnd"/>
            <w:r w:rsidR="009A09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5A58B0"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Ostróda, Szczytno</w:t>
            </w:r>
          </w:p>
        </w:tc>
      </w:tr>
    </w:tbl>
    <w:p w14:paraId="13DB79CF" w14:textId="77777777" w:rsidR="005C2D9D" w:rsidRPr="00C84D38" w:rsidRDefault="005C2D9D" w:rsidP="00502268">
      <w:pPr>
        <w:rPr>
          <w:rFonts w:cstheme="minorHAnsi"/>
        </w:rPr>
      </w:pPr>
    </w:p>
    <w:p w14:paraId="739BC8DD" w14:textId="77B38B8B" w:rsidR="005E64FE" w:rsidRPr="00C84D38" w:rsidRDefault="005E64FE" w:rsidP="00502268">
      <w:pPr>
        <w:rPr>
          <w:rFonts w:cstheme="minorHAnsi"/>
          <w:b/>
          <w:bCs/>
        </w:rPr>
      </w:pPr>
      <w:r w:rsidRPr="00C84D38">
        <w:rPr>
          <w:rFonts w:cstheme="minorHAnsi"/>
          <w:b/>
          <w:bCs/>
        </w:rPr>
        <w:t>Tabela 4: Wykaz obszarów Integratora Mazurskiego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6BDF" w14:paraId="2AD856BD" w14:textId="77777777" w:rsidTr="00496BDF">
        <w:tc>
          <w:tcPr>
            <w:tcW w:w="9062" w:type="dxa"/>
          </w:tcPr>
          <w:p w14:paraId="3BBF0966" w14:textId="7EF2144A" w:rsidR="00496BDF" w:rsidRDefault="00496BDF" w:rsidP="00AF3A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84D38">
              <w:rPr>
                <w:rFonts w:cstheme="minorHAnsi"/>
                <w:color w:val="000000"/>
              </w:rPr>
              <w:t xml:space="preserve">Strefa aktywności gospodarczej na terenach inwestycyjnych zlokalizowanych w pobliżu Portu Lotniczego Olsztyn-Mazury. Obszar ten obejmuje działki objęte miejscowym planem zagospodarowania przestrzennego uchwalonym uchwałą nr V/43/2019 Rady Gminy Szczytno z dnia 28 lutego 2019 r. położone w m. Szymany o następujących numerach geodezyjnych: 463/45, 463/46, 463/50, 463/56, 463/57, 463/60, 463/61, 463/64, 463/65, 463/66, 463/67, 463/68, 463/69. </w:t>
            </w:r>
          </w:p>
        </w:tc>
      </w:tr>
    </w:tbl>
    <w:p w14:paraId="38788342" w14:textId="77777777" w:rsidR="005E64FE" w:rsidRPr="00C84D38" w:rsidRDefault="005E64FE" w:rsidP="00502268">
      <w:pPr>
        <w:rPr>
          <w:rFonts w:cstheme="minorHAnsi"/>
          <w:b/>
          <w:bCs/>
        </w:rPr>
      </w:pPr>
    </w:p>
    <w:p w14:paraId="47C51147" w14:textId="70858ACA" w:rsidR="00502268" w:rsidRPr="00C84D38" w:rsidRDefault="00502268" w:rsidP="00502268">
      <w:pPr>
        <w:rPr>
          <w:rFonts w:eastAsia="Calibri" w:cstheme="minorHAnsi"/>
          <w:color w:val="000000"/>
          <w:lang w:eastAsia="ja-JP"/>
        </w:rPr>
      </w:pPr>
      <w:r w:rsidRPr="00C84D38">
        <w:rPr>
          <w:rFonts w:cstheme="minorHAnsi"/>
          <w:b/>
          <w:bCs/>
        </w:rPr>
        <w:t xml:space="preserve">Tabela </w:t>
      </w:r>
      <w:r w:rsidR="005E64FE" w:rsidRPr="00C84D38">
        <w:rPr>
          <w:rFonts w:cstheme="minorHAnsi"/>
          <w:b/>
          <w:bCs/>
        </w:rPr>
        <w:t>5</w:t>
      </w:r>
      <w:r w:rsidRPr="00C84D38">
        <w:rPr>
          <w:rFonts w:cstheme="minorHAnsi"/>
          <w:b/>
          <w:bCs/>
        </w:rPr>
        <w:t>. Wykaz przygranicznych powiatów województwa warmińsko-mazurskiego</w:t>
      </w:r>
    </w:p>
    <w:tbl>
      <w:tblPr>
        <w:tblStyle w:val="nowy1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02268" w:rsidRPr="00C84D38" w14:paraId="10862BB2" w14:textId="77777777" w:rsidTr="00502268">
        <w:trPr>
          <w:trHeight w:val="1376"/>
          <w:jc w:val="center"/>
        </w:trPr>
        <w:tc>
          <w:tcPr>
            <w:tcW w:w="9062" w:type="dxa"/>
          </w:tcPr>
          <w:p w14:paraId="37E7030A" w14:textId="77777777" w:rsidR="00502268" w:rsidRPr="00C84D38" w:rsidRDefault="00502268" w:rsidP="00C31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braniewski</w:t>
            </w:r>
          </w:p>
          <w:p w14:paraId="346C5DE4" w14:textId="77777777" w:rsidR="00502268" w:rsidRPr="00C84D38" w:rsidRDefault="00502268" w:rsidP="00C31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bartoszycki</w:t>
            </w:r>
          </w:p>
          <w:p w14:paraId="3C5AC3B4" w14:textId="77777777" w:rsidR="00502268" w:rsidRPr="00C84D38" w:rsidRDefault="00502268" w:rsidP="00C31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kętrzyński</w:t>
            </w:r>
          </w:p>
          <w:p w14:paraId="01129BFF" w14:textId="77777777" w:rsidR="00502268" w:rsidRPr="00C84D38" w:rsidRDefault="00502268" w:rsidP="00C31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węgorzewski</w:t>
            </w:r>
          </w:p>
          <w:p w14:paraId="45EC2CF9" w14:textId="11942C74" w:rsidR="00502268" w:rsidRPr="00C84D38" w:rsidRDefault="00502268" w:rsidP="00C31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 xml:space="preserve">- gołdapski </w:t>
            </w:r>
          </w:p>
        </w:tc>
      </w:tr>
    </w:tbl>
    <w:p w14:paraId="3E057206" w14:textId="77777777" w:rsidR="00733693" w:rsidRDefault="00733693" w:rsidP="00733693">
      <w:pPr>
        <w:spacing w:after="0"/>
        <w:jc w:val="both"/>
        <w:rPr>
          <w:rFonts w:cstheme="minorHAnsi"/>
          <w:i/>
        </w:rPr>
      </w:pPr>
    </w:p>
    <w:p w14:paraId="569B4FCC" w14:textId="1FCAB16D" w:rsidR="00815CF7" w:rsidRPr="00C84D38" w:rsidRDefault="00A71528" w:rsidP="00401794">
      <w:pPr>
        <w:jc w:val="both"/>
        <w:rPr>
          <w:rFonts w:cstheme="minorHAnsi"/>
          <w:i/>
        </w:rPr>
      </w:pPr>
      <w:r w:rsidRPr="00C84D38">
        <w:rPr>
          <w:rFonts w:cstheme="minorHAnsi"/>
          <w:i/>
        </w:rPr>
        <w:t xml:space="preserve">Spełnienie warunku następuje w oparciu o dokumentację pożyczkową.  </w:t>
      </w:r>
    </w:p>
    <w:p w14:paraId="73040DDC" w14:textId="299639D1" w:rsidR="00D63832" w:rsidRPr="00C84D38" w:rsidRDefault="00D63832" w:rsidP="00D63832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C84D38">
        <w:rPr>
          <w:rFonts w:asciiTheme="minorHAnsi" w:hAnsiTheme="minorHAnsi" w:cstheme="minorHAnsi"/>
          <w:b/>
          <w:bCs/>
        </w:rPr>
        <w:t xml:space="preserve">Warunek nr </w:t>
      </w:r>
      <w:r w:rsidR="00ED706E">
        <w:rPr>
          <w:rFonts w:asciiTheme="minorHAnsi" w:hAnsiTheme="minorHAnsi" w:cstheme="minorHAnsi"/>
          <w:b/>
          <w:bCs/>
        </w:rPr>
        <w:t>5</w:t>
      </w:r>
    </w:p>
    <w:p w14:paraId="2C6F9A61" w14:textId="10E8772C" w:rsidR="00AF6602" w:rsidRPr="00C84D38" w:rsidRDefault="00AF6602" w:rsidP="00660010">
      <w:pPr>
        <w:rPr>
          <w:rFonts w:cstheme="minorHAnsi"/>
          <w:b/>
        </w:rPr>
      </w:pPr>
      <w:r w:rsidRPr="00C84D38">
        <w:rPr>
          <w:rFonts w:cstheme="minorHAnsi"/>
          <w:b/>
        </w:rPr>
        <w:t>Inwestycje wykazujące wpływ na rozwój inteligentnych specjalizacji regionalnych</w:t>
      </w:r>
      <w:r w:rsidR="0067394A" w:rsidRPr="00C84D38">
        <w:rPr>
          <w:rFonts w:cstheme="minorHAnsi"/>
          <w:b/>
        </w:rPr>
        <w:t>.</w:t>
      </w:r>
    </w:p>
    <w:p w14:paraId="1999B4BF" w14:textId="48A1DC3D" w:rsidR="00401794" w:rsidRPr="00C84D38" w:rsidRDefault="00401794" w:rsidP="00660010">
      <w:pPr>
        <w:rPr>
          <w:rFonts w:cstheme="minorHAnsi"/>
          <w:b/>
        </w:rPr>
      </w:pPr>
      <w:r w:rsidRPr="00C84D38">
        <w:rPr>
          <w:rFonts w:cstheme="minorHAnsi"/>
          <w:b/>
        </w:rPr>
        <w:t>Tabela nr 6</w:t>
      </w:r>
    </w:p>
    <w:tbl>
      <w:tblPr>
        <w:tblStyle w:val="nowy1"/>
        <w:tblW w:w="0" w:type="auto"/>
        <w:jc w:val="center"/>
        <w:tblLook w:val="04A0" w:firstRow="1" w:lastRow="0" w:firstColumn="1" w:lastColumn="0" w:noHBand="0" w:noVBand="1"/>
      </w:tblPr>
      <w:tblGrid>
        <w:gridCol w:w="4197"/>
        <w:gridCol w:w="4865"/>
      </w:tblGrid>
      <w:tr w:rsidR="00732A97" w:rsidRPr="00C84D38" w14:paraId="50458A0F" w14:textId="77777777" w:rsidTr="00AF6602">
        <w:trPr>
          <w:trHeight w:val="356"/>
          <w:jc w:val="center"/>
        </w:trPr>
        <w:tc>
          <w:tcPr>
            <w:tcW w:w="9062" w:type="dxa"/>
            <w:gridSpan w:val="2"/>
          </w:tcPr>
          <w:p w14:paraId="21E7AF87" w14:textId="77777777" w:rsidR="00732A97" w:rsidRPr="00C84D38" w:rsidRDefault="00732A97" w:rsidP="00D05A2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Wykaz inteligentnych specjalizacji Warmii i Mazur</w:t>
            </w:r>
          </w:p>
        </w:tc>
      </w:tr>
      <w:tr w:rsidR="00732A97" w:rsidRPr="00C84D38" w14:paraId="29536251" w14:textId="77777777" w:rsidTr="00AF6602">
        <w:trPr>
          <w:jc w:val="center"/>
        </w:trPr>
        <w:tc>
          <w:tcPr>
            <w:tcW w:w="4197" w:type="dxa"/>
            <w:tcBorders>
              <w:bottom w:val="single" w:sz="4" w:space="0" w:color="auto"/>
            </w:tcBorders>
          </w:tcPr>
          <w:p w14:paraId="16CE4E3F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ja-JP"/>
              </w:rPr>
              <w:t>Drewno i meblarstwo;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39C96D7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ja-JP"/>
              </w:rPr>
              <w:t xml:space="preserve">Ekonomia wody; </w:t>
            </w:r>
          </w:p>
        </w:tc>
      </w:tr>
      <w:tr w:rsidR="00732A97" w:rsidRPr="00C84D38" w14:paraId="7F42CAE4" w14:textId="77777777" w:rsidTr="00AF6602">
        <w:trPr>
          <w:trHeight w:val="2253"/>
          <w:jc w:val="center"/>
        </w:trPr>
        <w:tc>
          <w:tcPr>
            <w:tcW w:w="4197" w:type="dxa"/>
          </w:tcPr>
          <w:p w14:paraId="7EEF7758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przetwórstwo i sprzedaż drewna</w:t>
            </w:r>
          </w:p>
          <w:p w14:paraId="43C25478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produkcja mebli</w:t>
            </w:r>
          </w:p>
          <w:p w14:paraId="112F4FD8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 xml:space="preserve">- sprzedaż produktów </w:t>
            </w:r>
            <w:proofErr w:type="spellStart"/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drzewno</w:t>
            </w:r>
            <w:proofErr w:type="spellEnd"/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-meblarskich</w:t>
            </w:r>
          </w:p>
          <w:p w14:paraId="5F16D98C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usługi projektowe</w:t>
            </w:r>
          </w:p>
          <w:p w14:paraId="0AA4C606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naprawa i konserwacja</w:t>
            </w:r>
          </w:p>
          <w:p w14:paraId="6E4D98D0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produkcja innych wyrobów stolarskich</w:t>
            </w:r>
          </w:p>
          <w:p w14:paraId="31EC4C17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nauka i IOB</w:t>
            </w:r>
          </w:p>
        </w:tc>
        <w:tc>
          <w:tcPr>
            <w:tcW w:w="4865" w:type="dxa"/>
          </w:tcPr>
          <w:p w14:paraId="512FD0D1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produkcja maszyn</w:t>
            </w:r>
          </w:p>
          <w:p w14:paraId="326AC030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transport wodny</w:t>
            </w:r>
          </w:p>
          <w:p w14:paraId="445BB83F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sporty wodne</w:t>
            </w:r>
          </w:p>
          <w:p w14:paraId="0DB81551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produkcja jachtów i łodzi</w:t>
            </w:r>
          </w:p>
          <w:p w14:paraId="6A168264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środowisko przyrodnicze i jego ochrona</w:t>
            </w:r>
          </w:p>
          <w:p w14:paraId="7C95187B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przemysł rolno-spożywczy</w:t>
            </w:r>
          </w:p>
          <w:p w14:paraId="7ED924EF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nauka i IOB</w:t>
            </w:r>
          </w:p>
          <w:p w14:paraId="6B6AE792" w14:textId="77777777" w:rsidR="00732A97" w:rsidRPr="00C84D38" w:rsidRDefault="00732A97" w:rsidP="00D05A2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zakwaterowanie i odnowa biologiczna</w:t>
            </w:r>
          </w:p>
        </w:tc>
      </w:tr>
      <w:tr w:rsidR="00732A97" w:rsidRPr="00C84D38" w14:paraId="74114EEB" w14:textId="77777777" w:rsidTr="00AF6602">
        <w:trPr>
          <w:trHeight w:val="274"/>
          <w:jc w:val="center"/>
        </w:trPr>
        <w:tc>
          <w:tcPr>
            <w:tcW w:w="4197" w:type="dxa"/>
            <w:vAlign w:val="center"/>
          </w:tcPr>
          <w:p w14:paraId="406E7A99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ja-JP"/>
              </w:rPr>
              <w:t>Zdrowe życie;</w:t>
            </w:r>
          </w:p>
        </w:tc>
        <w:tc>
          <w:tcPr>
            <w:tcW w:w="4865" w:type="dxa"/>
            <w:vAlign w:val="center"/>
          </w:tcPr>
          <w:p w14:paraId="69621D77" w14:textId="77777777" w:rsidR="00732A97" w:rsidRPr="00C84D38" w:rsidRDefault="00732A97" w:rsidP="00D05A23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84D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Żywność wysokiej jakości;</w:t>
            </w:r>
          </w:p>
        </w:tc>
      </w:tr>
      <w:tr w:rsidR="00732A97" w:rsidRPr="00C84D38" w14:paraId="37F25FBF" w14:textId="77777777" w:rsidTr="00AF6602">
        <w:trPr>
          <w:jc w:val="center"/>
        </w:trPr>
        <w:tc>
          <w:tcPr>
            <w:tcW w:w="4197" w:type="dxa"/>
          </w:tcPr>
          <w:p w14:paraId="570D94C4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producenci i dystrybutorzy sprzętu oraz produktów medycznych</w:t>
            </w:r>
          </w:p>
          <w:p w14:paraId="3F1105BC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dostawcy usług medycznych i około medycznych</w:t>
            </w:r>
          </w:p>
          <w:p w14:paraId="0B15D1AB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sektor ICT wyspecjalizowany w zakresie ochrony zdrowia</w:t>
            </w:r>
          </w:p>
          <w:p w14:paraId="5F1954D3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dostawcy produktów i usług środowiskowych</w:t>
            </w:r>
          </w:p>
          <w:p w14:paraId="69D81C55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producenci i dostawcy wiedzy w zakresie zdrowia życia</w:t>
            </w:r>
          </w:p>
        </w:tc>
        <w:tc>
          <w:tcPr>
            <w:tcW w:w="4865" w:type="dxa"/>
          </w:tcPr>
          <w:p w14:paraId="22C3E87C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chów i hodowla ryb oraz zwierząt</w:t>
            </w:r>
          </w:p>
          <w:p w14:paraId="50BA9D56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produkcja żywności nieprzetworzonej</w:t>
            </w:r>
          </w:p>
          <w:p w14:paraId="2232C03D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 xml:space="preserve">- przetwarzanie i unieszkodliwienie odpadów </w:t>
            </w:r>
            <w:proofErr w:type="spellStart"/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porolniczych</w:t>
            </w:r>
            <w:proofErr w:type="spellEnd"/>
          </w:p>
          <w:p w14:paraId="1005AF64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produkcja i usługi na rzecz hodowli zwierząt</w:t>
            </w:r>
          </w:p>
          <w:p w14:paraId="452650E4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przetwórstwo spożywcze</w:t>
            </w:r>
          </w:p>
          <w:p w14:paraId="69FA1231" w14:textId="77777777" w:rsidR="00732A97" w:rsidRPr="00C84D38" w:rsidRDefault="00732A97" w:rsidP="00D05A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produkcja maszyn dla rolnictwa</w:t>
            </w:r>
          </w:p>
          <w:p w14:paraId="3998DA10" w14:textId="77777777" w:rsidR="00732A97" w:rsidRPr="00C84D38" w:rsidRDefault="00732A97" w:rsidP="00D05A2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84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  <w:t>- nauka i IOB</w:t>
            </w:r>
          </w:p>
        </w:tc>
      </w:tr>
    </w:tbl>
    <w:p w14:paraId="5B8E1CB7" w14:textId="77777777" w:rsidR="008105CE" w:rsidRPr="00C84D38" w:rsidRDefault="008105CE" w:rsidP="008105CE">
      <w:pPr>
        <w:spacing w:after="120" w:line="23" w:lineRule="atLeast"/>
        <w:jc w:val="both"/>
        <w:rPr>
          <w:rFonts w:cstheme="minorHAnsi"/>
          <w:iCs/>
        </w:rPr>
      </w:pPr>
    </w:p>
    <w:p w14:paraId="75F087D2" w14:textId="77777777" w:rsidR="008105CE" w:rsidRPr="00C84D38" w:rsidRDefault="008105CE" w:rsidP="008105CE">
      <w:pPr>
        <w:spacing w:after="120" w:line="23" w:lineRule="atLeast"/>
        <w:jc w:val="both"/>
        <w:rPr>
          <w:rFonts w:cstheme="minorHAnsi"/>
          <w:iCs/>
        </w:rPr>
      </w:pPr>
      <w:r w:rsidRPr="00C84D38">
        <w:rPr>
          <w:rFonts w:cstheme="minorHAnsi"/>
          <w:iCs/>
        </w:rPr>
        <w:t>Poprzez inwestycje w ramach powyższych inteligentnych specjalizacji należy rozumieć takie, które muszą spełnić co najmniej dwa z poniższych warunków łącznie:</w:t>
      </w:r>
    </w:p>
    <w:p w14:paraId="27978059" w14:textId="77777777" w:rsidR="008105CE" w:rsidRPr="00C84D38" w:rsidRDefault="008105CE" w:rsidP="008105C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iCs/>
          <w:color w:val="000000" w:themeColor="text1"/>
        </w:rPr>
      </w:pPr>
      <w:r w:rsidRPr="00C84D38">
        <w:rPr>
          <w:rFonts w:asciiTheme="minorHAnsi" w:hAnsiTheme="minorHAnsi" w:cstheme="minorHAnsi"/>
          <w:iCs/>
          <w:color w:val="000000" w:themeColor="text1"/>
        </w:rPr>
        <w:lastRenderedPageBreak/>
        <w:t xml:space="preserve">wpływ na eliminowanie negatywnego wpływu zagrożeń i/lub wpływ na wykorzystanie szans zdiagnozowanych w analizie </w:t>
      </w:r>
      <w:proofErr w:type="gramStart"/>
      <w:r w:rsidRPr="00C84D38">
        <w:rPr>
          <w:rFonts w:asciiTheme="minorHAnsi" w:hAnsiTheme="minorHAnsi" w:cstheme="minorHAnsi"/>
          <w:iCs/>
          <w:color w:val="000000" w:themeColor="text1"/>
        </w:rPr>
        <w:t>SWOT  dla</w:t>
      </w:r>
      <w:proofErr w:type="gramEnd"/>
      <w:r w:rsidRPr="00C84D38">
        <w:rPr>
          <w:rFonts w:asciiTheme="minorHAnsi" w:hAnsiTheme="minorHAnsi" w:cstheme="minorHAnsi"/>
          <w:iCs/>
          <w:color w:val="000000" w:themeColor="text1"/>
        </w:rPr>
        <w:t xml:space="preserve"> danej inteligentnej specjalizacji, </w:t>
      </w:r>
      <w:proofErr w:type="spellStart"/>
      <w:r w:rsidRPr="00C84D38">
        <w:rPr>
          <w:rFonts w:asciiTheme="minorHAnsi" w:hAnsiTheme="minorHAnsi" w:cstheme="minorHAnsi"/>
          <w:iCs/>
          <w:color w:val="000000" w:themeColor="text1"/>
        </w:rPr>
        <w:t>tj</w:t>
      </w:r>
      <w:proofErr w:type="spellEnd"/>
      <w:r w:rsidRPr="00C84D38">
        <w:rPr>
          <w:rFonts w:asciiTheme="minorHAnsi" w:hAnsiTheme="minorHAnsi" w:cstheme="minorHAnsi"/>
          <w:iCs/>
          <w:color w:val="000000" w:themeColor="text1"/>
        </w:rPr>
        <w:t xml:space="preserve"> w obszarze:</w:t>
      </w:r>
    </w:p>
    <w:p w14:paraId="7A238FF3" w14:textId="77777777" w:rsidR="008105CE" w:rsidRPr="00C84D38" w:rsidRDefault="008105CE" w:rsidP="008105CE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iCs/>
          <w:color w:val="000000" w:themeColor="text1"/>
        </w:rPr>
      </w:pPr>
      <w:r w:rsidRPr="00C84D38">
        <w:rPr>
          <w:rFonts w:asciiTheme="minorHAnsi" w:hAnsiTheme="minorHAnsi" w:cstheme="minorHAnsi"/>
          <w:iCs/>
          <w:color w:val="000000" w:themeColor="text1"/>
        </w:rPr>
        <w:t xml:space="preserve">drewno i </w:t>
      </w:r>
      <w:proofErr w:type="gramStart"/>
      <w:r w:rsidRPr="00C84D38">
        <w:rPr>
          <w:rFonts w:asciiTheme="minorHAnsi" w:hAnsiTheme="minorHAnsi" w:cstheme="minorHAnsi"/>
          <w:iCs/>
          <w:color w:val="000000" w:themeColor="text1"/>
        </w:rPr>
        <w:t>meblarstwo  -</w:t>
      </w:r>
      <w:proofErr w:type="gramEnd"/>
      <w:r w:rsidRPr="00C84D38">
        <w:rPr>
          <w:rFonts w:asciiTheme="minorHAnsi" w:hAnsiTheme="minorHAnsi" w:cstheme="minorHAnsi"/>
          <w:iCs/>
          <w:color w:val="000000" w:themeColor="text1"/>
        </w:rPr>
        <w:t xml:space="preserve"> link do analizy SWOT </w:t>
      </w:r>
      <w:bookmarkStart w:id="0" w:name="_Hlk168306428"/>
      <w:r w:rsidRPr="00C84D38">
        <w:rPr>
          <w:rFonts w:asciiTheme="minorHAnsi" w:hAnsiTheme="minorHAnsi" w:cstheme="minorHAnsi"/>
          <w:iCs/>
          <w:color w:val="000000" w:themeColor="text1"/>
        </w:rPr>
        <w:t xml:space="preserve">Badanie potencjału innowacyjnego i rozwojowego przedsiębiorstw funkcjonujących w obszarze inteligentnych specjalizacji województwa warmińsko-mazurskiego Drewno i meblarstwo – raport </w:t>
      </w:r>
      <w:proofErr w:type="gramStart"/>
      <w:r w:rsidRPr="00C84D38">
        <w:rPr>
          <w:rFonts w:asciiTheme="minorHAnsi" w:hAnsiTheme="minorHAnsi" w:cstheme="minorHAnsi"/>
          <w:iCs/>
          <w:color w:val="000000" w:themeColor="text1"/>
        </w:rPr>
        <w:t>końcowy;  Rozdział</w:t>
      </w:r>
      <w:proofErr w:type="gramEnd"/>
      <w:r w:rsidRPr="00C84D38">
        <w:rPr>
          <w:rFonts w:asciiTheme="minorHAnsi" w:hAnsiTheme="minorHAnsi" w:cstheme="minorHAnsi"/>
          <w:iCs/>
          <w:color w:val="000000" w:themeColor="text1"/>
        </w:rPr>
        <w:t xml:space="preserve"> </w:t>
      </w:r>
      <w:proofErr w:type="gramStart"/>
      <w:r w:rsidRPr="00C84D38">
        <w:rPr>
          <w:rFonts w:asciiTheme="minorHAnsi" w:hAnsiTheme="minorHAnsi" w:cstheme="minorHAnsi"/>
          <w:iCs/>
          <w:color w:val="000000" w:themeColor="text1"/>
        </w:rPr>
        <w:t>6  ANALIZA</w:t>
      </w:r>
      <w:proofErr w:type="gramEnd"/>
      <w:r w:rsidRPr="00C84D38">
        <w:rPr>
          <w:rFonts w:asciiTheme="minorHAnsi" w:hAnsiTheme="minorHAnsi" w:cstheme="minorHAnsi"/>
          <w:iCs/>
          <w:color w:val="000000" w:themeColor="text1"/>
        </w:rPr>
        <w:t xml:space="preserve"> SWOT DLA INTELIGENTNEJ SPECJALIZACJI „DREWNO I </w:t>
      </w:r>
      <w:proofErr w:type="gramStart"/>
      <w:r w:rsidRPr="00C84D38">
        <w:rPr>
          <w:rFonts w:asciiTheme="minorHAnsi" w:hAnsiTheme="minorHAnsi" w:cstheme="minorHAnsi"/>
          <w:iCs/>
          <w:color w:val="000000" w:themeColor="text1"/>
        </w:rPr>
        <w:t>MEBLARSTWO”</w:t>
      </w:r>
      <w:r w:rsidRPr="00C84D38">
        <w:rPr>
          <w:rFonts w:asciiTheme="minorHAnsi" w:hAnsiTheme="minorHAnsi" w:cstheme="minorHAnsi"/>
          <w:iCs/>
          <w:color w:val="000000" w:themeColor="text1"/>
          <w:u w:val="single"/>
        </w:rPr>
        <w:t xml:space="preserve"> </w:t>
      </w:r>
      <w:r w:rsidRPr="00C84D38">
        <w:rPr>
          <w:rFonts w:asciiTheme="minorHAnsi" w:hAnsiTheme="minorHAnsi" w:cstheme="minorHAnsi"/>
          <w:iCs/>
        </w:rPr>
        <w:t xml:space="preserve"> </w:t>
      </w:r>
      <w:r w:rsidRPr="00C84D38">
        <w:rPr>
          <w:rFonts w:asciiTheme="minorHAnsi" w:hAnsiTheme="minorHAnsi" w:cstheme="minorHAnsi"/>
          <w:iCs/>
          <w:color w:val="000000" w:themeColor="text1"/>
        </w:rPr>
        <w:t>https://biznes.warmia.mazury.pl/wp-content/uploads/2019/11/DREWNO_I_MEBLARSTWO_RAPORT_KO%C5%83COWY.pdf</w:t>
      </w:r>
      <w:proofErr w:type="gramEnd"/>
    </w:p>
    <w:p w14:paraId="41565144" w14:textId="77777777" w:rsidR="008105CE" w:rsidRPr="00C84D38" w:rsidRDefault="008105CE" w:rsidP="008105CE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iCs/>
          <w:color w:val="000000" w:themeColor="text1"/>
        </w:rPr>
      </w:pPr>
      <w:r w:rsidRPr="00C84D38">
        <w:rPr>
          <w:rFonts w:asciiTheme="minorHAnsi" w:hAnsiTheme="minorHAnsi" w:cstheme="minorHAnsi"/>
          <w:iCs/>
          <w:color w:val="000000" w:themeColor="text1"/>
        </w:rPr>
        <w:t>ekonomia wody -–</w:t>
      </w:r>
      <w:r w:rsidRPr="00C84D38">
        <w:rPr>
          <w:rFonts w:asciiTheme="minorHAnsi" w:hAnsiTheme="minorHAnsi" w:cstheme="minorHAnsi"/>
          <w:iCs/>
        </w:rPr>
        <w:t xml:space="preserve"> </w:t>
      </w:r>
      <w:r w:rsidRPr="00C84D38">
        <w:rPr>
          <w:rFonts w:asciiTheme="minorHAnsi" w:hAnsiTheme="minorHAnsi" w:cstheme="minorHAnsi"/>
          <w:iCs/>
          <w:color w:val="000000" w:themeColor="text1"/>
        </w:rPr>
        <w:t>Badanie potencjału innowacyjnego i rozwojowego przedsiębiorstw funkcjonujących w obszarze inteligentnych specjalizacji województwa warmińsko-mazurskiego Ekonomia wody – raport końcowy; Rozdział 6 ANALIZA SWOT DLA SPECJALIZACJI EKONOMIA WODY ___</w:t>
      </w:r>
      <w:r w:rsidRPr="00C84D38">
        <w:rPr>
          <w:rFonts w:asciiTheme="minorHAnsi" w:hAnsiTheme="minorHAnsi" w:cstheme="minorHAnsi"/>
          <w:iCs/>
        </w:rPr>
        <w:t>https://biznes.warmia.mazury.pl/wp-content/uploads/2019/11/EKONOMIA_WODY_RAPORT_KO%C5%83COWY.pdf</w:t>
      </w:r>
    </w:p>
    <w:p w14:paraId="27787E70" w14:textId="77777777" w:rsidR="008105CE" w:rsidRPr="00C84D38" w:rsidRDefault="008105CE" w:rsidP="008105CE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iCs/>
        </w:rPr>
      </w:pPr>
      <w:r w:rsidRPr="00C84D38">
        <w:rPr>
          <w:rFonts w:asciiTheme="minorHAnsi" w:hAnsiTheme="minorHAnsi" w:cstheme="minorHAnsi"/>
          <w:iCs/>
          <w:color w:val="000000" w:themeColor="text1"/>
        </w:rPr>
        <w:t>zdrowe życie https://bu.warmia.mazury.pl:7123/sharing/JltNKsBOM</w:t>
      </w:r>
    </w:p>
    <w:p w14:paraId="54975545" w14:textId="77777777" w:rsidR="008105CE" w:rsidRPr="00C84D38" w:rsidRDefault="008105CE" w:rsidP="008105CE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iCs/>
          <w:color w:val="000000" w:themeColor="text1"/>
        </w:rPr>
      </w:pPr>
      <w:proofErr w:type="gramStart"/>
      <w:r w:rsidRPr="00C84D38">
        <w:rPr>
          <w:rFonts w:asciiTheme="minorHAnsi" w:hAnsiTheme="minorHAnsi" w:cstheme="minorHAnsi"/>
          <w:iCs/>
          <w:color w:val="000000" w:themeColor="text1"/>
        </w:rPr>
        <w:t>żywność  wysokiej</w:t>
      </w:r>
      <w:proofErr w:type="gramEnd"/>
      <w:r w:rsidRPr="00C84D38">
        <w:rPr>
          <w:rFonts w:asciiTheme="minorHAnsi" w:hAnsiTheme="minorHAnsi" w:cstheme="minorHAnsi"/>
          <w:iCs/>
          <w:color w:val="000000" w:themeColor="text1"/>
        </w:rPr>
        <w:t xml:space="preserve"> jakości–</w:t>
      </w:r>
      <w:r w:rsidRPr="00C84D38">
        <w:rPr>
          <w:rFonts w:asciiTheme="minorHAnsi" w:hAnsiTheme="minorHAnsi" w:cstheme="minorHAnsi"/>
          <w:iCs/>
        </w:rPr>
        <w:t xml:space="preserve"> </w:t>
      </w:r>
      <w:r w:rsidRPr="00C84D38">
        <w:rPr>
          <w:rFonts w:asciiTheme="minorHAnsi" w:hAnsiTheme="minorHAnsi" w:cstheme="minorHAnsi"/>
          <w:iCs/>
          <w:color w:val="000000" w:themeColor="text1"/>
        </w:rPr>
        <w:t>Badanie potencjału innowacyjnego i rozwojowego przedsiębiorstw funkcjonujących w obszarze inteligentnych specjalizacji województwa warmińsko-mazurskiego Żywność wysokiej jakości – raport końcowy, Rozdział 6 ANALIZA SWOT DLA SPECJALIZACJI ŻYWNOŚĆ WYSOKIEJ JAKOŚCI _https://biznes.warmia.mazury.pl/wp-content/uploads/2019/11/%C5%BBYWNO%C5%9A%C4%86_WYSOKIEJ_JAKO%C5%9ACI_RAPORT_KO%C5%83COWY.pdf__</w:t>
      </w:r>
    </w:p>
    <w:bookmarkEnd w:id="0"/>
    <w:p w14:paraId="4CAF15F3" w14:textId="77777777" w:rsidR="008105CE" w:rsidRPr="00C84D38" w:rsidRDefault="008105CE" w:rsidP="008105C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iCs/>
          <w:color w:val="000000" w:themeColor="text1"/>
        </w:rPr>
      </w:pPr>
      <w:r w:rsidRPr="00C84D38">
        <w:rPr>
          <w:rFonts w:asciiTheme="minorHAnsi" w:hAnsiTheme="minorHAnsi" w:cstheme="minorHAnsi"/>
          <w:iCs/>
          <w:color w:val="000000" w:themeColor="text1"/>
        </w:rPr>
        <w:t xml:space="preserve">wpływ na wzmocnienie silnych stron i/lub eliminację słabych stron zdiagnozowanych w analizie SWOT dla danej inteligentnej specjalizacji lub dyfuzję wyników projektu na więcej niż jeden podmiot działający w obszarze danej inteligentnej specjalizacji, </w:t>
      </w:r>
      <w:proofErr w:type="spellStart"/>
      <w:r w:rsidRPr="00C84D38">
        <w:rPr>
          <w:rFonts w:asciiTheme="minorHAnsi" w:hAnsiTheme="minorHAnsi" w:cstheme="minorHAnsi"/>
          <w:iCs/>
          <w:color w:val="000000" w:themeColor="text1"/>
        </w:rPr>
        <w:t>tj</w:t>
      </w:r>
      <w:proofErr w:type="spellEnd"/>
      <w:r w:rsidRPr="00C84D38">
        <w:rPr>
          <w:rFonts w:asciiTheme="minorHAnsi" w:hAnsiTheme="minorHAnsi" w:cstheme="minorHAnsi"/>
          <w:iCs/>
          <w:color w:val="000000" w:themeColor="text1"/>
        </w:rPr>
        <w:t>: w obszarze</w:t>
      </w:r>
    </w:p>
    <w:p w14:paraId="73E9FBF7" w14:textId="77777777" w:rsidR="008105CE" w:rsidRPr="00C84D38" w:rsidRDefault="008105CE" w:rsidP="008105C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iCs/>
          <w:color w:val="000000" w:themeColor="text1"/>
        </w:rPr>
      </w:pPr>
      <w:r w:rsidRPr="00C84D38">
        <w:rPr>
          <w:rFonts w:asciiTheme="minorHAnsi" w:hAnsiTheme="minorHAnsi" w:cstheme="minorHAnsi"/>
          <w:iCs/>
          <w:color w:val="000000" w:themeColor="text1"/>
        </w:rPr>
        <w:t xml:space="preserve">drewno i </w:t>
      </w:r>
      <w:proofErr w:type="gramStart"/>
      <w:r w:rsidRPr="00C84D38">
        <w:rPr>
          <w:rFonts w:asciiTheme="minorHAnsi" w:hAnsiTheme="minorHAnsi" w:cstheme="minorHAnsi"/>
          <w:iCs/>
          <w:color w:val="000000" w:themeColor="text1"/>
        </w:rPr>
        <w:t>meblarstwo  -</w:t>
      </w:r>
      <w:proofErr w:type="gramEnd"/>
      <w:r w:rsidRPr="00C84D38">
        <w:rPr>
          <w:rFonts w:asciiTheme="minorHAnsi" w:hAnsiTheme="minorHAnsi" w:cstheme="minorHAnsi"/>
          <w:iCs/>
          <w:color w:val="000000" w:themeColor="text1"/>
        </w:rPr>
        <w:t xml:space="preserve"> link do analizy SWOT –Badanie potencjału innowacyjnego i rozwojowego przedsiębiorstw funkcjonujących w obszarze inteligentnych specjalizacji województwa warmińsko-mazurskiego Drewno i meblarstwo – raport </w:t>
      </w:r>
      <w:proofErr w:type="gramStart"/>
      <w:r w:rsidRPr="00C84D38">
        <w:rPr>
          <w:rFonts w:asciiTheme="minorHAnsi" w:hAnsiTheme="minorHAnsi" w:cstheme="minorHAnsi"/>
          <w:iCs/>
          <w:color w:val="000000" w:themeColor="text1"/>
        </w:rPr>
        <w:t>końcowy;  Rozdział</w:t>
      </w:r>
      <w:proofErr w:type="gramEnd"/>
      <w:r w:rsidRPr="00C84D38">
        <w:rPr>
          <w:rFonts w:asciiTheme="minorHAnsi" w:hAnsiTheme="minorHAnsi" w:cstheme="minorHAnsi"/>
          <w:iCs/>
          <w:color w:val="000000" w:themeColor="text1"/>
        </w:rPr>
        <w:t xml:space="preserve"> </w:t>
      </w:r>
      <w:proofErr w:type="gramStart"/>
      <w:r w:rsidRPr="00C84D38">
        <w:rPr>
          <w:rFonts w:asciiTheme="minorHAnsi" w:hAnsiTheme="minorHAnsi" w:cstheme="minorHAnsi"/>
          <w:iCs/>
          <w:color w:val="000000" w:themeColor="text1"/>
        </w:rPr>
        <w:t>6  ANALIZA</w:t>
      </w:r>
      <w:proofErr w:type="gramEnd"/>
      <w:r w:rsidRPr="00C84D38">
        <w:rPr>
          <w:rFonts w:asciiTheme="minorHAnsi" w:hAnsiTheme="minorHAnsi" w:cstheme="minorHAnsi"/>
          <w:iCs/>
          <w:color w:val="000000" w:themeColor="text1"/>
        </w:rPr>
        <w:t xml:space="preserve"> SWOT DLA INTELIGENTNEJ SPECJALIZACJI „DREWNO I MEBLARSTWO” _–https://biznes.warmia.mazury.pl/wp-content/uploads/2019/11/DREWNO_I_MEBLARSTWO_RAPORT_KO%C5%83COWY.pdf</w:t>
      </w:r>
    </w:p>
    <w:p w14:paraId="72743A20" w14:textId="77777777" w:rsidR="008105CE" w:rsidRPr="00C84D38" w:rsidRDefault="008105CE" w:rsidP="008105C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iCs/>
          <w:color w:val="000000" w:themeColor="text1"/>
        </w:rPr>
      </w:pPr>
      <w:r w:rsidRPr="00C84D38">
        <w:rPr>
          <w:rFonts w:asciiTheme="minorHAnsi" w:hAnsiTheme="minorHAnsi" w:cstheme="minorHAnsi"/>
          <w:iCs/>
          <w:color w:val="000000" w:themeColor="text1"/>
        </w:rPr>
        <w:t>ekonomia wody - link do analizy SWOT – Badanie potencjału innowacyjnego i rozwojowego przedsiębiorstw funkcjonujących w obszarze inteligentnych specjalizacji województwa warmińsko-mazurskiego Ekonomia wody – raport końcowy; Rozdział 6 ANALIZA SWOT DLA SPECJALIZACJI EKONOMIA WODY ___</w:t>
      </w:r>
      <w:r w:rsidRPr="00C84D38">
        <w:rPr>
          <w:rFonts w:asciiTheme="minorHAnsi" w:hAnsiTheme="minorHAnsi" w:cstheme="minorHAnsi"/>
          <w:iCs/>
        </w:rPr>
        <w:t xml:space="preserve"> https://biznes.warmia.mazury.pl/wp-content/uploads/2019/11/EKONOMIA_WODY_RAPORT_KO%C5%83COWY.pdf</w:t>
      </w:r>
    </w:p>
    <w:p w14:paraId="6FE6C027" w14:textId="77777777" w:rsidR="008105CE" w:rsidRPr="00C84D38" w:rsidRDefault="008105CE" w:rsidP="008105C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iCs/>
        </w:rPr>
      </w:pPr>
      <w:r w:rsidRPr="00C84D38">
        <w:rPr>
          <w:rFonts w:asciiTheme="minorHAnsi" w:hAnsiTheme="minorHAnsi" w:cstheme="minorHAnsi"/>
          <w:iCs/>
          <w:color w:val="000000" w:themeColor="text1"/>
        </w:rPr>
        <w:t>zdrowe życie https://bu.warmia.mazury.pl:7123/sharing/JltNKsBOM</w:t>
      </w:r>
    </w:p>
    <w:p w14:paraId="026692FB" w14:textId="77777777" w:rsidR="008105CE" w:rsidRPr="00C84D38" w:rsidRDefault="008105CE" w:rsidP="008105C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iCs/>
          <w:color w:val="000000" w:themeColor="text1"/>
        </w:rPr>
      </w:pPr>
      <w:r w:rsidRPr="00C84D38">
        <w:rPr>
          <w:rFonts w:asciiTheme="minorHAnsi" w:hAnsiTheme="minorHAnsi" w:cstheme="minorHAnsi"/>
          <w:iCs/>
          <w:color w:val="000000" w:themeColor="text1"/>
        </w:rPr>
        <w:t>żywność wysokiej jakości -–</w:t>
      </w:r>
      <w:r w:rsidRPr="00C84D38">
        <w:rPr>
          <w:rFonts w:asciiTheme="minorHAnsi" w:hAnsiTheme="minorHAnsi" w:cstheme="minorHAnsi"/>
          <w:iCs/>
        </w:rPr>
        <w:t xml:space="preserve"> </w:t>
      </w:r>
      <w:r w:rsidRPr="00C84D38">
        <w:rPr>
          <w:rFonts w:asciiTheme="minorHAnsi" w:hAnsiTheme="minorHAnsi" w:cstheme="minorHAnsi"/>
          <w:iCs/>
          <w:color w:val="000000" w:themeColor="text1"/>
        </w:rPr>
        <w:t>Badanie potencjału innowacyjnego i rozwojowego przedsiębiorstw funkcjonujących w obszarze inteligentnych specjalizacji województwa warmińsko-mazurskiego Żywność wysokiej jakości – raport końcowy, Rozdział 6 ANALIZA SWOT DLA SPECJALIZACJI ŻYWNOŚĆ WYSOKIEJ JAKOŚCI ___https://biznes.warmia.mazury.pl/wp-</w:t>
      </w:r>
      <w:r w:rsidRPr="00C84D38">
        <w:rPr>
          <w:rFonts w:asciiTheme="minorHAnsi" w:hAnsiTheme="minorHAnsi" w:cstheme="minorHAnsi"/>
          <w:iCs/>
          <w:color w:val="000000" w:themeColor="text1"/>
        </w:rPr>
        <w:lastRenderedPageBreak/>
        <w:t>content/uploads/2019/11/%C5%BBYWNO%C5%9A%C4%86_WYSOKIEJ_JAKO%C5%9ACI_RAPORT_KO%C5%83COWY.pdf</w:t>
      </w:r>
    </w:p>
    <w:p w14:paraId="34214F92" w14:textId="77777777" w:rsidR="008105CE" w:rsidRPr="00C84D38" w:rsidRDefault="008105CE" w:rsidP="008105CE">
      <w:pPr>
        <w:pStyle w:val="Akapitzlist"/>
        <w:ind w:left="1364"/>
        <w:rPr>
          <w:rFonts w:asciiTheme="minorHAnsi" w:hAnsiTheme="minorHAnsi" w:cstheme="minorHAnsi"/>
          <w:iCs/>
          <w:color w:val="000000" w:themeColor="text1"/>
        </w:rPr>
      </w:pPr>
    </w:p>
    <w:p w14:paraId="7CF66A35" w14:textId="77777777" w:rsidR="008105CE" w:rsidRPr="00C84D38" w:rsidRDefault="008105CE" w:rsidP="008105CE">
      <w:pPr>
        <w:pStyle w:val="Akapitzlist"/>
        <w:numPr>
          <w:ilvl w:val="0"/>
          <w:numId w:val="8"/>
        </w:numPr>
        <w:spacing w:after="0"/>
        <w:rPr>
          <w:rFonts w:asciiTheme="minorHAnsi" w:hAnsiTheme="minorHAnsi" w:cstheme="minorHAnsi"/>
          <w:iCs/>
          <w:color w:val="000000" w:themeColor="text1"/>
        </w:rPr>
      </w:pPr>
      <w:bookmarkStart w:id="1" w:name="_Hlk168313336"/>
      <w:r w:rsidRPr="00C84D38">
        <w:rPr>
          <w:rFonts w:asciiTheme="minorHAnsi" w:hAnsiTheme="minorHAnsi" w:cstheme="minorHAnsi"/>
          <w:iCs/>
          <w:color w:val="000000" w:themeColor="text1"/>
        </w:rPr>
        <w:t>stworzenie w wyniku inwestycji możliwości eksportowych w ramach danej specjalizacji i/lub generowanie potencjalnego wzrostu współpracy w europejskich łańcuchach wartości</w:t>
      </w:r>
      <w:bookmarkEnd w:id="1"/>
      <w:r w:rsidRPr="00C84D38">
        <w:rPr>
          <w:rFonts w:asciiTheme="minorHAnsi" w:hAnsiTheme="minorHAnsi" w:cstheme="minorHAnsi"/>
          <w:iCs/>
          <w:color w:val="000000" w:themeColor="text1"/>
        </w:rPr>
        <w:t>,</w:t>
      </w:r>
    </w:p>
    <w:p w14:paraId="2A472331" w14:textId="77777777" w:rsidR="008105CE" w:rsidRPr="00F47B5E" w:rsidRDefault="008105CE" w:rsidP="00F47B5E">
      <w:pPr>
        <w:spacing w:after="0"/>
        <w:rPr>
          <w:rFonts w:cstheme="minorHAnsi"/>
          <w:iCs/>
          <w:color w:val="000000" w:themeColor="text1"/>
        </w:rPr>
      </w:pPr>
    </w:p>
    <w:p w14:paraId="061DCB7F" w14:textId="77777777" w:rsidR="008105CE" w:rsidRPr="00C84D38" w:rsidRDefault="008105CE" w:rsidP="008105CE">
      <w:pPr>
        <w:pStyle w:val="Akapitzlist"/>
        <w:numPr>
          <w:ilvl w:val="0"/>
          <w:numId w:val="8"/>
        </w:numPr>
        <w:spacing w:after="0"/>
        <w:rPr>
          <w:rFonts w:asciiTheme="minorHAnsi" w:hAnsiTheme="minorHAnsi" w:cstheme="minorHAnsi"/>
          <w:iCs/>
          <w:color w:val="000000" w:themeColor="text1"/>
        </w:rPr>
      </w:pPr>
      <w:r w:rsidRPr="00C84D38">
        <w:rPr>
          <w:rFonts w:asciiTheme="minorHAnsi" w:hAnsiTheme="minorHAnsi" w:cstheme="minorHAnsi"/>
          <w:iCs/>
          <w:color w:val="000000" w:themeColor="text1"/>
        </w:rPr>
        <w:t xml:space="preserve">wpływ na kreowanie współpracy pomiędzy środowiskiem naukowym, biznesowym, otoczeniem biznesu, administracją w obrębie co najmniej jednej specjalizacji w wyniku realizacji projektu.  </w:t>
      </w:r>
    </w:p>
    <w:p w14:paraId="40147F8F" w14:textId="77777777" w:rsidR="008105CE" w:rsidRPr="00C84D38" w:rsidRDefault="008105CE" w:rsidP="008105CE">
      <w:pPr>
        <w:spacing w:after="0"/>
        <w:rPr>
          <w:rFonts w:cstheme="minorHAnsi"/>
          <w:iCs/>
        </w:rPr>
      </w:pPr>
    </w:p>
    <w:p w14:paraId="6D6E622B" w14:textId="77777777" w:rsidR="008105CE" w:rsidRPr="00C84D38" w:rsidRDefault="008105CE" w:rsidP="008105CE">
      <w:pPr>
        <w:spacing w:after="0"/>
        <w:rPr>
          <w:rFonts w:cstheme="minorHAnsi"/>
          <w:i/>
          <w:color w:val="000000" w:themeColor="text1"/>
        </w:rPr>
      </w:pPr>
      <w:r w:rsidRPr="00C84D38">
        <w:rPr>
          <w:rFonts w:cstheme="minorHAnsi"/>
          <w:i/>
        </w:rPr>
        <w:t xml:space="preserve">Spełnienie warunku następuje w oparciu o dokumentację pożyczkową.  </w:t>
      </w:r>
    </w:p>
    <w:p w14:paraId="40726765" w14:textId="77777777" w:rsidR="00131BA1" w:rsidRPr="00C84D38" w:rsidRDefault="00131BA1" w:rsidP="00131BA1">
      <w:pPr>
        <w:rPr>
          <w:rFonts w:cstheme="minorHAnsi"/>
        </w:rPr>
      </w:pPr>
    </w:p>
    <w:p w14:paraId="1A4E4929" w14:textId="77777777" w:rsidR="00131BA1" w:rsidRPr="00C84D38" w:rsidRDefault="00131BA1" w:rsidP="00131BA1">
      <w:pPr>
        <w:jc w:val="both"/>
        <w:rPr>
          <w:rFonts w:cstheme="minorHAnsi"/>
          <w:i/>
        </w:rPr>
      </w:pPr>
    </w:p>
    <w:p w14:paraId="719940B6" w14:textId="5267F7E0" w:rsidR="00131BA1" w:rsidRPr="00C84D38" w:rsidRDefault="00131BA1" w:rsidP="00401794">
      <w:pPr>
        <w:jc w:val="both"/>
        <w:rPr>
          <w:rFonts w:cstheme="minorHAnsi"/>
          <w:i/>
        </w:rPr>
      </w:pPr>
    </w:p>
    <w:sectPr w:rsidR="00131BA1" w:rsidRPr="00C84D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D203" w14:textId="77777777" w:rsidR="00067596" w:rsidRDefault="00067596" w:rsidP="00300C68">
      <w:pPr>
        <w:spacing w:after="0" w:line="240" w:lineRule="auto"/>
      </w:pPr>
      <w:r>
        <w:separator/>
      </w:r>
    </w:p>
  </w:endnote>
  <w:endnote w:type="continuationSeparator" w:id="0">
    <w:p w14:paraId="61453309" w14:textId="77777777" w:rsidR="00067596" w:rsidRDefault="00067596" w:rsidP="0030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4B60" w14:textId="77777777" w:rsidR="00067596" w:rsidRDefault="00067596" w:rsidP="00300C68">
      <w:pPr>
        <w:spacing w:after="0" w:line="240" w:lineRule="auto"/>
      </w:pPr>
      <w:r>
        <w:separator/>
      </w:r>
    </w:p>
  </w:footnote>
  <w:footnote w:type="continuationSeparator" w:id="0">
    <w:p w14:paraId="2B7C74EA" w14:textId="77777777" w:rsidR="00067596" w:rsidRDefault="00067596" w:rsidP="00300C68">
      <w:pPr>
        <w:spacing w:after="0" w:line="240" w:lineRule="auto"/>
      </w:pPr>
      <w:r>
        <w:continuationSeparator/>
      </w:r>
    </w:p>
  </w:footnote>
  <w:footnote w:id="1">
    <w:p w14:paraId="4DAF2D2B" w14:textId="499FD99B" w:rsidR="00A36F7B" w:rsidRPr="004453C3" w:rsidRDefault="00A36F7B">
      <w:pPr>
        <w:pStyle w:val="Tekstprzypisudolnego"/>
        <w:rPr>
          <w:sz w:val="18"/>
          <w:szCs w:val="18"/>
        </w:rPr>
      </w:pPr>
      <w:r w:rsidRPr="004453C3">
        <w:rPr>
          <w:rStyle w:val="Odwoanieprzypisudolnego"/>
          <w:sz w:val="18"/>
          <w:szCs w:val="18"/>
        </w:rPr>
        <w:footnoteRef/>
      </w:r>
      <w:r w:rsidRPr="004453C3">
        <w:rPr>
          <w:sz w:val="18"/>
          <w:szCs w:val="18"/>
        </w:rPr>
        <w:t xml:space="preserve"> wydatki związane z wdrażaniem rozwiązań cyfrowych powinny stanowić powyżej 50% wydatków kwalifikowalnych JP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D902" w14:textId="77777777" w:rsidR="00300C68" w:rsidRDefault="00300C68" w:rsidP="00300C68">
    <w:pPr>
      <w:pStyle w:val="Nagwek"/>
      <w:jc w:val="right"/>
    </w:pPr>
    <w:r w:rsidRPr="000A5B2F">
      <w:rPr>
        <w:noProof/>
        <w:lang w:eastAsia="pl-PL"/>
      </w:rPr>
      <w:drawing>
        <wp:inline distT="0" distB="0" distL="0" distR="0" wp14:anchorId="390B22E4" wp14:editId="7B4647E3">
          <wp:extent cx="1704975" cy="381000"/>
          <wp:effectExtent l="0" t="0" r="0" b="0"/>
          <wp:docPr id="19" name="Obraz 19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9F7AB" w14:textId="77777777" w:rsidR="00300C68" w:rsidRDefault="00300C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101"/>
    <w:multiLevelType w:val="hybridMultilevel"/>
    <w:tmpl w:val="FF3C4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CCF"/>
    <w:multiLevelType w:val="hybridMultilevel"/>
    <w:tmpl w:val="FD7AE9D6"/>
    <w:lvl w:ilvl="0" w:tplc="CA4A38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A4EB1"/>
    <w:multiLevelType w:val="hybridMultilevel"/>
    <w:tmpl w:val="2FE83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8E5"/>
    <w:multiLevelType w:val="hybridMultilevel"/>
    <w:tmpl w:val="CB90F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97A2B"/>
    <w:multiLevelType w:val="hybridMultilevel"/>
    <w:tmpl w:val="08A4D60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A470FC6"/>
    <w:multiLevelType w:val="multilevel"/>
    <w:tmpl w:val="8B5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01A2"/>
    <w:multiLevelType w:val="hybridMultilevel"/>
    <w:tmpl w:val="DB7E0FBA"/>
    <w:lvl w:ilvl="0" w:tplc="9500BE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35291"/>
    <w:multiLevelType w:val="hybridMultilevel"/>
    <w:tmpl w:val="734C9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224F6">
      <w:numFmt w:val="bullet"/>
      <w:lvlText w:val="•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07465"/>
    <w:multiLevelType w:val="hybridMultilevel"/>
    <w:tmpl w:val="93025150"/>
    <w:lvl w:ilvl="0" w:tplc="6C8471D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F3C41"/>
    <w:multiLevelType w:val="hybridMultilevel"/>
    <w:tmpl w:val="405EAC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7CAB7E52"/>
    <w:multiLevelType w:val="hybridMultilevel"/>
    <w:tmpl w:val="B99887AC"/>
    <w:lvl w:ilvl="0" w:tplc="31EA24F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65967"/>
    <w:multiLevelType w:val="hybridMultilevel"/>
    <w:tmpl w:val="3DC041F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48970410">
    <w:abstractNumId w:val="7"/>
  </w:num>
  <w:num w:numId="2" w16cid:durableId="1432579222">
    <w:abstractNumId w:val="11"/>
  </w:num>
  <w:num w:numId="3" w16cid:durableId="757603030">
    <w:abstractNumId w:val="1"/>
  </w:num>
  <w:num w:numId="4" w16cid:durableId="1107041611">
    <w:abstractNumId w:val="5"/>
  </w:num>
  <w:num w:numId="5" w16cid:durableId="198132731">
    <w:abstractNumId w:val="6"/>
  </w:num>
  <w:num w:numId="6" w16cid:durableId="784230577">
    <w:abstractNumId w:val="8"/>
  </w:num>
  <w:num w:numId="7" w16cid:durableId="1627082499">
    <w:abstractNumId w:val="10"/>
  </w:num>
  <w:num w:numId="8" w16cid:durableId="1078358053">
    <w:abstractNumId w:val="3"/>
  </w:num>
  <w:num w:numId="9" w16cid:durableId="421612647">
    <w:abstractNumId w:val="9"/>
  </w:num>
  <w:num w:numId="10" w16cid:durableId="786121072">
    <w:abstractNumId w:val="4"/>
  </w:num>
  <w:num w:numId="11" w16cid:durableId="405342021">
    <w:abstractNumId w:val="2"/>
  </w:num>
  <w:num w:numId="12" w16cid:durableId="71350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68"/>
    <w:rsid w:val="00041F4D"/>
    <w:rsid w:val="00045DAC"/>
    <w:rsid w:val="00067596"/>
    <w:rsid w:val="0009348B"/>
    <w:rsid w:val="000B5C04"/>
    <w:rsid w:val="000C5C94"/>
    <w:rsid w:val="000D2D82"/>
    <w:rsid w:val="000E3A46"/>
    <w:rsid w:val="000E7E49"/>
    <w:rsid w:val="000F4855"/>
    <w:rsid w:val="000F7DB8"/>
    <w:rsid w:val="00121032"/>
    <w:rsid w:val="00131BA1"/>
    <w:rsid w:val="00160171"/>
    <w:rsid w:val="00194AB6"/>
    <w:rsid w:val="00195933"/>
    <w:rsid w:val="001B2570"/>
    <w:rsid w:val="001C6A5C"/>
    <w:rsid w:val="001C78E8"/>
    <w:rsid w:val="001F7E7F"/>
    <w:rsid w:val="0022244B"/>
    <w:rsid w:val="002D0A6C"/>
    <w:rsid w:val="002F5B01"/>
    <w:rsid w:val="00300C68"/>
    <w:rsid w:val="00312ACC"/>
    <w:rsid w:val="00325C64"/>
    <w:rsid w:val="00343305"/>
    <w:rsid w:val="0034666E"/>
    <w:rsid w:val="00364507"/>
    <w:rsid w:val="003750E2"/>
    <w:rsid w:val="00375E5A"/>
    <w:rsid w:val="00376256"/>
    <w:rsid w:val="00397061"/>
    <w:rsid w:val="003A0611"/>
    <w:rsid w:val="003A7713"/>
    <w:rsid w:val="003B3F75"/>
    <w:rsid w:val="003C2714"/>
    <w:rsid w:val="003E6F28"/>
    <w:rsid w:val="00401794"/>
    <w:rsid w:val="004450DD"/>
    <w:rsid w:val="004453C3"/>
    <w:rsid w:val="004709A3"/>
    <w:rsid w:val="00481EE9"/>
    <w:rsid w:val="00482758"/>
    <w:rsid w:val="00490362"/>
    <w:rsid w:val="00496BDF"/>
    <w:rsid w:val="004E128B"/>
    <w:rsid w:val="00502268"/>
    <w:rsid w:val="00525008"/>
    <w:rsid w:val="00542533"/>
    <w:rsid w:val="005440F1"/>
    <w:rsid w:val="0059112C"/>
    <w:rsid w:val="005A58B0"/>
    <w:rsid w:val="005A65CC"/>
    <w:rsid w:val="005C2D9D"/>
    <w:rsid w:val="005C3379"/>
    <w:rsid w:val="005D29D0"/>
    <w:rsid w:val="005E64FE"/>
    <w:rsid w:val="00607D9B"/>
    <w:rsid w:val="00660010"/>
    <w:rsid w:val="0067394A"/>
    <w:rsid w:val="006778C6"/>
    <w:rsid w:val="006B3D62"/>
    <w:rsid w:val="006D45A8"/>
    <w:rsid w:val="00732A97"/>
    <w:rsid w:val="00733693"/>
    <w:rsid w:val="007346CD"/>
    <w:rsid w:val="00736434"/>
    <w:rsid w:val="007A4B0F"/>
    <w:rsid w:val="007A7D80"/>
    <w:rsid w:val="007B32B9"/>
    <w:rsid w:val="007B5CFD"/>
    <w:rsid w:val="007F2864"/>
    <w:rsid w:val="00803F3A"/>
    <w:rsid w:val="008065BF"/>
    <w:rsid w:val="008105CE"/>
    <w:rsid w:val="00815CF7"/>
    <w:rsid w:val="00816926"/>
    <w:rsid w:val="00834DCB"/>
    <w:rsid w:val="008436EE"/>
    <w:rsid w:val="0085494B"/>
    <w:rsid w:val="008610F7"/>
    <w:rsid w:val="00866273"/>
    <w:rsid w:val="00871365"/>
    <w:rsid w:val="008758D2"/>
    <w:rsid w:val="0088262A"/>
    <w:rsid w:val="0089571B"/>
    <w:rsid w:val="008A32AB"/>
    <w:rsid w:val="00921670"/>
    <w:rsid w:val="0094042C"/>
    <w:rsid w:val="00952FBB"/>
    <w:rsid w:val="00974662"/>
    <w:rsid w:val="009829BD"/>
    <w:rsid w:val="009A0991"/>
    <w:rsid w:val="009B7618"/>
    <w:rsid w:val="009E40D0"/>
    <w:rsid w:val="00A12587"/>
    <w:rsid w:val="00A15783"/>
    <w:rsid w:val="00A214F3"/>
    <w:rsid w:val="00A364B1"/>
    <w:rsid w:val="00A36F7B"/>
    <w:rsid w:val="00A6034A"/>
    <w:rsid w:val="00A71528"/>
    <w:rsid w:val="00AA0752"/>
    <w:rsid w:val="00AA5528"/>
    <w:rsid w:val="00AB2B54"/>
    <w:rsid w:val="00AF1EF1"/>
    <w:rsid w:val="00AF3A6A"/>
    <w:rsid w:val="00AF6602"/>
    <w:rsid w:val="00B211C5"/>
    <w:rsid w:val="00B81CCB"/>
    <w:rsid w:val="00B8704D"/>
    <w:rsid w:val="00B87EED"/>
    <w:rsid w:val="00B92894"/>
    <w:rsid w:val="00BA4F4B"/>
    <w:rsid w:val="00BB19BA"/>
    <w:rsid w:val="00BC200B"/>
    <w:rsid w:val="00BD3AA5"/>
    <w:rsid w:val="00BD5FAF"/>
    <w:rsid w:val="00BE1F83"/>
    <w:rsid w:val="00BE43B6"/>
    <w:rsid w:val="00BE57CA"/>
    <w:rsid w:val="00BE7F7E"/>
    <w:rsid w:val="00BF1A28"/>
    <w:rsid w:val="00BF4B87"/>
    <w:rsid w:val="00C23435"/>
    <w:rsid w:val="00C2428A"/>
    <w:rsid w:val="00C26C48"/>
    <w:rsid w:val="00C37386"/>
    <w:rsid w:val="00C72AAD"/>
    <w:rsid w:val="00C84D38"/>
    <w:rsid w:val="00C967E8"/>
    <w:rsid w:val="00CB297D"/>
    <w:rsid w:val="00CD1A32"/>
    <w:rsid w:val="00CD30D2"/>
    <w:rsid w:val="00CD7FDB"/>
    <w:rsid w:val="00D07EE8"/>
    <w:rsid w:val="00D16803"/>
    <w:rsid w:val="00D21E8E"/>
    <w:rsid w:val="00D63832"/>
    <w:rsid w:val="00D706CD"/>
    <w:rsid w:val="00D8696B"/>
    <w:rsid w:val="00DB1E74"/>
    <w:rsid w:val="00DB3C3C"/>
    <w:rsid w:val="00DE3721"/>
    <w:rsid w:val="00E22717"/>
    <w:rsid w:val="00E274C9"/>
    <w:rsid w:val="00E36023"/>
    <w:rsid w:val="00E441E1"/>
    <w:rsid w:val="00E50088"/>
    <w:rsid w:val="00E84035"/>
    <w:rsid w:val="00E946D1"/>
    <w:rsid w:val="00EB69F6"/>
    <w:rsid w:val="00EC7927"/>
    <w:rsid w:val="00ED706E"/>
    <w:rsid w:val="00F27DDC"/>
    <w:rsid w:val="00F35F58"/>
    <w:rsid w:val="00F47B5E"/>
    <w:rsid w:val="00F5061D"/>
    <w:rsid w:val="00F515F1"/>
    <w:rsid w:val="00F83F43"/>
    <w:rsid w:val="00FA3625"/>
    <w:rsid w:val="00FA69CA"/>
    <w:rsid w:val="00FB3155"/>
    <w:rsid w:val="00FB635D"/>
    <w:rsid w:val="00FC2137"/>
    <w:rsid w:val="00FD3112"/>
    <w:rsid w:val="00FD36D4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4CB0A"/>
  <w15:chartTrackingRefBased/>
  <w15:docId w15:val="{50450A6D-358B-4B7A-BBA6-519B5764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6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300C6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300C6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0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C68"/>
  </w:style>
  <w:style w:type="paragraph" w:styleId="Stopka">
    <w:name w:val="footer"/>
    <w:basedOn w:val="Normalny"/>
    <w:link w:val="StopkaZnak"/>
    <w:uiPriority w:val="99"/>
    <w:unhideWhenUsed/>
    <w:rsid w:val="0030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C68"/>
  </w:style>
  <w:style w:type="character" w:styleId="Odwoaniedokomentarza">
    <w:name w:val="annotation reference"/>
    <w:uiPriority w:val="99"/>
    <w:unhideWhenUsed/>
    <w:rsid w:val="00300C68"/>
    <w:rPr>
      <w:sz w:val="16"/>
      <w:szCs w:val="16"/>
    </w:rPr>
  </w:style>
  <w:style w:type="paragraph" w:styleId="Tekstkomentarza">
    <w:name w:val="annotation text"/>
    <w:aliases w:val="Tekst komentarza Znak Znak,Znak3 Znak Znak, Znak3 Znak Znak, Znak,Znak"/>
    <w:basedOn w:val="Normalny"/>
    <w:link w:val="TekstkomentarzaZnak"/>
    <w:uiPriority w:val="99"/>
    <w:unhideWhenUsed/>
    <w:rsid w:val="00300C6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Tekst komentarza Znak Znak Znak,Znak3 Znak Znak Znak, Znak3 Znak Znak Znak, Znak Znak,Znak Znak"/>
    <w:basedOn w:val="Domylnaczcionkaakapitu"/>
    <w:link w:val="Tekstkomentarza"/>
    <w:uiPriority w:val="99"/>
    <w:rsid w:val="00300C68"/>
    <w:rPr>
      <w:rFonts w:ascii="Calibri" w:eastAsia="Calibri" w:hAnsi="Calibri" w:cs="Times New Roman"/>
      <w:sz w:val="20"/>
      <w:szCs w:val="20"/>
    </w:rPr>
  </w:style>
  <w:style w:type="table" w:customStyle="1" w:styleId="nowy1">
    <w:name w:val="nowy1"/>
    <w:basedOn w:val="Standardowy"/>
    <w:next w:val="Tabela-Siatka"/>
    <w:uiPriority w:val="39"/>
    <w:rsid w:val="00300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0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0C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C6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C6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78E8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6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f1">
    <w:name w:val="pf1"/>
    <w:basedOn w:val="Normalny"/>
    <w:rsid w:val="005E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E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5E64FE"/>
    <w:rPr>
      <w:rFonts w:ascii="Segoe UI" w:hAnsi="Segoe UI" w:cs="Segoe UI" w:hint="default"/>
      <w:sz w:val="18"/>
      <w:szCs w:val="18"/>
      <w:u w:val="single"/>
    </w:rPr>
  </w:style>
  <w:style w:type="character" w:customStyle="1" w:styleId="cf21">
    <w:name w:val="cf21"/>
    <w:basedOn w:val="Domylnaczcionkaakapitu"/>
    <w:rsid w:val="005E64FE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3F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3F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3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europejskie.warmia.mazury.pl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uszeeuropejskie.warmia.mazury.pl/artykul/469/wskaznik-g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03BB7217DC9428C42E82B6FA9398F" ma:contentTypeVersion="3" ma:contentTypeDescription="Utwórz nowy dokument." ma:contentTypeScope="" ma:versionID="f2bfd445a931cabe306d5a9874f5685b">
  <xsd:schema xmlns:xsd="http://www.w3.org/2001/XMLSchema" xmlns:xs="http://www.w3.org/2001/XMLSchema" xmlns:p="http://schemas.microsoft.com/office/2006/metadata/properties" xmlns:ns2="a0ac7332-4828-4586-940b-5ee84842431b" targetNamespace="http://schemas.microsoft.com/office/2006/metadata/properties" ma:root="true" ma:fieldsID="313da5ff80c639355baa98996f3c6470" ns2:_="">
    <xsd:import namespace="a0ac7332-4828-4586-940b-5ee848424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c7332-4828-4586-940b-5ee848424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2A6F1-7410-4006-BA55-040EA7E79C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894C0-7695-428E-8C31-B86C5E6D6B96}"/>
</file>

<file path=customXml/itemProps3.xml><?xml version="1.0" encoding="utf-8"?>
<ds:datastoreItem xmlns:ds="http://schemas.openxmlformats.org/officeDocument/2006/customXml" ds:itemID="{4FB4BA7F-06C5-49CA-8BE2-08ABA12536FC}"/>
</file>

<file path=customXml/itemProps4.xml><?xml version="1.0" encoding="utf-8"?>
<ds:datastoreItem xmlns:ds="http://schemas.openxmlformats.org/officeDocument/2006/customXml" ds:itemID="{674B256C-49EB-49DC-9635-30BBAD309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1441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Wróblewska, Karolina (DIF)</dc:creator>
  <cp:keywords/>
  <dc:description/>
  <cp:lastModifiedBy>Barbara Gałązka</cp:lastModifiedBy>
  <cp:revision>2</cp:revision>
  <cp:lastPrinted>2024-09-16T07:48:00Z</cp:lastPrinted>
  <dcterms:created xsi:type="dcterms:W3CDTF">2026-06-01T13:31:00Z</dcterms:created>
  <dcterms:modified xsi:type="dcterms:W3CDTF">2026-06-01T13:31:00Z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2024-04-29T13:32:01Z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5a12febf-1388-4b4c-99f1-9a9d1b1ecd3f</vt:lpwstr>
  </property>
  <property fmtid="{D5CDD505-2E9C-101B-9397-08002B2CF9AE}" pid="8" name="MSIP_Label_e2e05055-e449-4922-9b24-eaf69810da98_ContentBits">
    <vt:lpwstr>0</vt:lpwstr>
  </property>
  <property fmtid="{D5CDD505-2E9C-101B-9397-08002B2CF9AE}" pid="9" name="ContentTypeId">
    <vt:lpwstr>0x010100D6E03BB7217DC9428C42E82B6FA9398F</vt:lpwstr>
  </property>
</Properties>
</file>